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C9633">
      <w:pPr>
        <w:jc w:val="center"/>
      </w:pPr>
      <w:bookmarkStart w:id="0" w:name="_GoBack"/>
      <w:bookmarkEnd w:id="0"/>
      <w:r>
        <w:drawing>
          <wp:inline distT="0" distB="0" distL="0" distR="0">
            <wp:extent cx="1554480" cy="1554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1554480" cy="1554480"/>
                    </a:xfrm>
                    <a:prstGeom prst="rect">
                      <a:avLst/>
                    </a:prstGeom>
                  </pic:spPr>
                </pic:pic>
              </a:graphicData>
            </a:graphic>
          </wp:inline>
        </w:drawing>
      </w:r>
    </w:p>
    <w:p w14:paraId="4B0B0D3A">
      <w:pPr>
        <w:jc w:val="center"/>
      </w:pPr>
      <w:r>
        <w:rPr>
          <w:b/>
        </w:rPr>
        <w:t>Terms of Reference</w:t>
      </w:r>
    </w:p>
    <w:p w14:paraId="020736BA">
      <w:pPr>
        <w:jc w:val="center"/>
      </w:pPr>
      <w:r>
        <w:rPr>
          <w:b/>
        </w:rPr>
        <w:t>Investment Officer for LVCF Operations and Stakeholder Coordination- Federal Government of Somalia (FGS)</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0"/>
        <w:gridCol w:w="6480"/>
      </w:tblGrid>
      <w:tr w14:paraId="2DF38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80" w:type="dxa"/>
          </w:tcPr>
          <w:p w14:paraId="69CB2A13">
            <w:r>
              <w:rPr>
                <w:b/>
              </w:rPr>
              <w:t>Type of appointment:</w:t>
            </w:r>
          </w:p>
        </w:tc>
        <w:tc>
          <w:tcPr>
            <w:tcW w:w="6480" w:type="dxa"/>
          </w:tcPr>
          <w:p w14:paraId="321A1710">
            <w:r>
              <w:t>Consultant</w:t>
            </w:r>
          </w:p>
        </w:tc>
      </w:tr>
      <w:tr w14:paraId="1003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80" w:type="dxa"/>
          </w:tcPr>
          <w:p w14:paraId="7313E645">
            <w:r>
              <w:rPr>
                <w:b/>
              </w:rPr>
              <w:t>Project:</w:t>
            </w:r>
          </w:p>
        </w:tc>
        <w:tc>
          <w:tcPr>
            <w:tcW w:w="6480" w:type="dxa"/>
          </w:tcPr>
          <w:p w14:paraId="5D75EC9C">
            <w:r>
              <w:t>De-risking, Inclusion and Value Enhancement of Pastoral Economies Project (DRIVE-P176517)</w:t>
            </w:r>
          </w:p>
        </w:tc>
      </w:tr>
      <w:tr w14:paraId="2CD20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80" w:type="dxa"/>
          </w:tcPr>
          <w:p w14:paraId="601BEA34">
            <w:r>
              <w:rPr>
                <w:b/>
              </w:rPr>
              <w:t>Duration:</w:t>
            </w:r>
          </w:p>
        </w:tc>
        <w:tc>
          <w:tcPr>
            <w:tcW w:w="6480" w:type="dxa"/>
          </w:tcPr>
          <w:p w14:paraId="29F4BBB6">
            <w:r>
              <w:t>12 months</w:t>
            </w:r>
          </w:p>
        </w:tc>
      </w:tr>
      <w:tr w14:paraId="4CF13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80" w:type="dxa"/>
          </w:tcPr>
          <w:p w14:paraId="0F8C5616">
            <w:r>
              <w:rPr>
                <w:b/>
              </w:rPr>
              <w:t>Duty Station:</w:t>
            </w:r>
          </w:p>
        </w:tc>
        <w:tc>
          <w:tcPr>
            <w:tcW w:w="6480" w:type="dxa"/>
          </w:tcPr>
          <w:p w14:paraId="15CF4E08">
            <w:r>
              <w:t>Mogadishu, Somalia, with travel to Federal Member States as required by the project.</w:t>
            </w:r>
          </w:p>
        </w:tc>
      </w:tr>
    </w:tbl>
    <w:p w14:paraId="5D3ED1ED"/>
    <w:p w14:paraId="4E086BC1">
      <w:r>
        <w:rPr>
          <w:b/>
        </w:rPr>
        <w:t>1.  Introduction:</w:t>
      </w:r>
    </w:p>
    <w:p w14:paraId="341AB237">
      <w:r>
        <w:t>The Federal Government of Somalia is implementing reforms and investments to strengthen livestock market systems, improve competitiveness, and expand private-sector-led growth across the livestock value chains. Under the Horn of Africa Initiative, the World Bank-financed De-risking, Inclusion and Value Enhancement of Pastoral Economies (DRIVE) Project supports resilience, inclusion, and value enhancement for pastoral economies.</w:t>
      </w:r>
    </w:p>
    <w:p w14:paraId="7F33BF6B">
      <w:r>
        <w:rPr>
          <w:b/>
        </w:rPr>
        <w:t>Livestock Value Chain Fund (LVCF)</w:t>
      </w:r>
    </w:p>
    <w:p w14:paraId="7F436B19">
      <w:r>
        <w:t>The Livestock Value Chain Fund (LVCF) is a financing facility under DRIVE designed to crowd in private investment through participating financial institutions (PFIs), with Gargaara managing core fund operations and portfolio administration in line with the LVCF Investment Guidelines and Procedures Manual. The facility supports eligible livestock value chain investments through defined windows, eligibility criteria, and stage-gated investment processing (origination, clearance in principle, execution/disbursement, portfolio management, and exit).</w:t>
      </w:r>
    </w:p>
    <w:p w14:paraId="58708867">
      <w:r>
        <w:t>To strengthen operational performance and delivery, the Project seeks an Investment Officer dedicated to day-to-day LVCF operations support under Gargaara management arrangements, with strong coordination across PFIs, PIU/WB, Ministry of Livestock, Forestry and Range (MoLFR), the investment firm, safeguards teams, and other relevant stakeholders.</w:t>
      </w:r>
    </w:p>
    <w:p w14:paraId="702DCE07">
      <w:r>
        <w:rPr>
          <w:b/>
        </w:rPr>
        <w:t>2.  Objectives</w:t>
      </w:r>
    </w:p>
    <w:p w14:paraId="2845D0FD">
      <w:r>
        <w:t>The objective of this assignment is to ensure effective and compliant implementation of LVCF operations by supporting Gargaara in pipeline management, allocation and disbursement workflows, portfolio monitoring, risk and compliance follow-up, and multi-stakeholder coordination.</w:t>
      </w:r>
    </w:p>
    <w:p w14:paraId="196F49DC">
      <w:r>
        <w:t>Specifically, the Investment Officer will:</w:t>
      </w:r>
    </w:p>
    <w:p w14:paraId="420A6DA6">
      <w:pPr>
        <w:pStyle w:val="29"/>
        <w:numPr>
          <w:ilvl w:val="0"/>
          <w:numId w:val="1"/>
        </w:numPr>
      </w:pPr>
      <w:r>
        <w:t>Support development and management of a high-quality LVCF investment pipeline aligned with eligibility and window criteria.</w:t>
      </w:r>
    </w:p>
    <w:p w14:paraId="5F03750E">
      <w:pPr>
        <w:pStyle w:val="29"/>
        <w:numPr>
          <w:ilvl w:val="0"/>
          <w:numId w:val="1"/>
        </w:numPr>
      </w:pPr>
      <w:r>
        <w:t>Coordinate stage-gate processing from screening through clearance in principle, disbursement readiness, and early portfolio monitoring.</w:t>
      </w:r>
    </w:p>
    <w:p w14:paraId="22AE8396">
      <w:pPr>
        <w:pStyle w:val="29"/>
        <w:numPr>
          <w:ilvl w:val="0"/>
          <w:numId w:val="1"/>
        </w:numPr>
      </w:pPr>
      <w:r>
        <w:t>Strengthen operational coordination between Gargaara, PFIs, PIU/WB, MoLFR, the investment firm, and safeguards/compliance functions.</w:t>
      </w:r>
    </w:p>
    <w:p w14:paraId="1BFAE1BE">
      <w:pPr>
        <w:pStyle w:val="29"/>
        <w:numPr>
          <w:ilvl w:val="0"/>
          <w:numId w:val="1"/>
        </w:numPr>
      </w:pPr>
      <w:r>
        <w:t>Improve reporting quality, issue resolution, and decision support for timely implementation and portfolio performance.</w:t>
      </w:r>
    </w:p>
    <w:p w14:paraId="02B2FE1C">
      <w:r>
        <w:rPr>
          <w:b/>
        </w:rPr>
        <w:t>3.  Key Tasks and Responsibilities.</w:t>
      </w:r>
    </w:p>
    <w:p w14:paraId="27CB219C">
      <w:r>
        <w:t>The Investment Officer will undertake the following key functions/tasks:</w:t>
      </w:r>
    </w:p>
    <w:p w14:paraId="36D5224F">
      <w:pPr>
        <w:pStyle w:val="29"/>
        <w:numPr>
          <w:ilvl w:val="0"/>
          <w:numId w:val="2"/>
        </w:numPr>
      </w:pPr>
      <w:r>
        <w:t>Maintain a live LVCF pipeline tracker by window, geography, value chain segment, PFI, and investment stage.</w:t>
      </w:r>
    </w:p>
    <w:p w14:paraId="299209DE">
      <w:pPr>
        <w:pStyle w:val="29"/>
        <w:numPr>
          <w:ilvl w:val="0"/>
          <w:numId w:val="2"/>
        </w:numPr>
      </w:pPr>
      <w:r>
        <w:t>Coordinate with PFIs and Gargaara technical teams to screen proposals against eligibility criteria, exclusion list requirements, and pastoralist linkage objectives.</w:t>
      </w:r>
    </w:p>
    <w:p w14:paraId="0C3EA44B">
      <w:pPr>
        <w:pStyle w:val="29"/>
        <w:numPr>
          <w:ilvl w:val="0"/>
          <w:numId w:val="2"/>
        </w:numPr>
      </w:pPr>
      <w:r>
        <w:t>Prepare an awareness campaign to include more women in the pipeline and monitor the applications.</w:t>
      </w:r>
    </w:p>
    <w:p w14:paraId="629142F8">
      <w:pPr>
        <w:pStyle w:val="29"/>
        <w:numPr>
          <w:ilvl w:val="0"/>
          <w:numId w:val="2"/>
        </w:numPr>
      </w:pPr>
      <w:r>
        <w:t>Support Stage 1 origination and screening note quality control, ensuring complete documentation for onward review. Support the documentation for the window for women and youth</w:t>
      </w:r>
    </w:p>
    <w:p w14:paraId="79C2FC35">
      <w:pPr>
        <w:pStyle w:val="29"/>
        <w:numPr>
          <w:ilvl w:val="0"/>
          <w:numId w:val="2"/>
        </w:numPr>
      </w:pPr>
      <w:r>
        <w:t>Support Stage 2 clearance in principle (CIP) processing, including tracking of conditions and due diligence actions required prior to disbursement.</w:t>
      </w:r>
    </w:p>
    <w:p w14:paraId="48526E78">
      <w:pPr>
        <w:pStyle w:val="29"/>
        <w:numPr>
          <w:ilvl w:val="0"/>
          <w:numId w:val="2"/>
        </w:numPr>
      </w:pPr>
      <w:r>
        <w:t>Coordinate with PFIs on allocation request completeness, including required forms, declarations, and forecast documentation.</w:t>
      </w:r>
    </w:p>
    <w:p w14:paraId="01D45704">
      <w:pPr>
        <w:pStyle w:val="29"/>
        <w:numPr>
          <w:ilvl w:val="0"/>
          <w:numId w:val="2"/>
        </w:numPr>
      </w:pPr>
      <w:r>
        <w:t>Facilitate presentations to PFIs and their branches at the FMS  to promote window for women and yuth</w:t>
      </w:r>
    </w:p>
    <w:p w14:paraId="1D64DD1E">
      <w:pPr>
        <w:pStyle w:val="29"/>
        <w:numPr>
          <w:ilvl w:val="0"/>
          <w:numId w:val="2"/>
        </w:numPr>
      </w:pPr>
      <w:r>
        <w:t>Track Ministry of Finance response timelines for allocation requests and maintain an action log of pending issues, clarifications, and decisions.</w:t>
      </w:r>
    </w:p>
    <w:p w14:paraId="4183947A">
      <w:pPr>
        <w:pStyle w:val="29"/>
        <w:numPr>
          <w:ilvl w:val="0"/>
          <w:numId w:val="2"/>
        </w:numPr>
      </w:pPr>
      <w:r>
        <w:t>Support preparation and verification of disbursement request packs and financing confirmation documentation before submission.</w:t>
      </w:r>
    </w:p>
    <w:p w14:paraId="6FE3D838">
      <w:pPr>
        <w:pStyle w:val="29"/>
        <w:numPr>
          <w:ilvl w:val="0"/>
          <w:numId w:val="2"/>
        </w:numPr>
      </w:pPr>
      <w:r>
        <w:t>Monitor allocation validity periods, cancellation risks, and renewal requirements, and alert stakeholders on time-critical actions.</w:t>
      </w:r>
    </w:p>
    <w:p w14:paraId="12EADCA0">
      <w:pPr>
        <w:pStyle w:val="29"/>
        <w:numPr>
          <w:ilvl w:val="0"/>
          <w:numId w:val="2"/>
        </w:numPr>
      </w:pPr>
      <w:r>
        <w:t>Consolidate monthly and quarterly PFI portfolio submissions covering disbursement progress, repayments, arrears, restructurings, and defaults.</w:t>
      </w:r>
    </w:p>
    <w:p w14:paraId="571E9867">
      <w:pPr>
        <w:pStyle w:val="29"/>
        <w:numPr>
          <w:ilvl w:val="0"/>
          <w:numId w:val="2"/>
        </w:numPr>
      </w:pPr>
      <w:r>
        <w:t>Track repayment obligations to the DRIVE Reflow Account and reconcile expected versus actual principal returns by PFI.</w:t>
      </w:r>
    </w:p>
    <w:p w14:paraId="4BC97CB0">
      <w:pPr>
        <w:pStyle w:val="29"/>
        <w:numPr>
          <w:ilvl w:val="0"/>
          <w:numId w:val="2"/>
        </w:numPr>
      </w:pPr>
      <w:r>
        <w:t>Maintain a portfolio risk dashboard including portfolio-at-risk indicators, concentration exposure, delinquency trends, and operational bottlenecks.</w:t>
      </w:r>
    </w:p>
    <w:p w14:paraId="0BC13A8A">
      <w:pPr>
        <w:pStyle w:val="29"/>
        <w:numPr>
          <w:ilvl w:val="0"/>
          <w:numId w:val="2"/>
        </w:numPr>
      </w:pPr>
      <w:r>
        <w:t>Coordinate with Gargaara management, PFIs, and the investment firm to follow up on non-performing or at-risk investments and agreed corrective actions.</w:t>
      </w:r>
    </w:p>
    <w:p w14:paraId="0EEF885E">
      <w:pPr>
        <w:pStyle w:val="29"/>
        <w:numPr>
          <w:ilvl w:val="0"/>
          <w:numId w:val="2"/>
        </w:numPr>
      </w:pPr>
      <w:r>
        <w:t>Support monitoring of use-of-funds compliance and promptly escalate suspected misallocation cases for management action.</w:t>
      </w:r>
    </w:p>
    <w:p w14:paraId="164F3586">
      <w:pPr>
        <w:pStyle w:val="29"/>
        <w:numPr>
          <w:ilvl w:val="0"/>
          <w:numId w:val="2"/>
        </w:numPr>
      </w:pPr>
      <w:r>
        <w:t>Work closely with environmental and social specialists to ensure E&amp;S screening, ESMS follow-up, and exclusion list compliance are applied in all supported investments.</w:t>
      </w:r>
    </w:p>
    <w:p w14:paraId="77C51212">
      <w:pPr>
        <w:pStyle w:val="29"/>
        <w:numPr>
          <w:ilvl w:val="0"/>
          <w:numId w:val="2"/>
        </w:numPr>
      </w:pPr>
      <w:r>
        <w:t>Support adherence to applicable anti-bribery, anti-corruption, and anti-money laundering requirements under project and national rules.</w:t>
      </w:r>
    </w:p>
    <w:p w14:paraId="5E5325D0">
      <w:pPr>
        <w:pStyle w:val="29"/>
        <w:numPr>
          <w:ilvl w:val="0"/>
          <w:numId w:val="2"/>
        </w:numPr>
      </w:pPr>
      <w:r>
        <w:t>Prepare monthly operations dashboards and quarterly portfolio briefs for Gargaara and PIU reporting.</w:t>
      </w:r>
    </w:p>
    <w:p w14:paraId="36DE7E58">
      <w:pPr>
        <w:pStyle w:val="29"/>
        <w:numPr>
          <w:ilvl w:val="0"/>
          <w:numId w:val="2"/>
        </w:numPr>
      </w:pPr>
      <w:r>
        <w:t>Provide secretariat support for LVCF coordination meetings, including agendas, decision records, action trackers, and follow-up notes.</w:t>
      </w:r>
    </w:p>
    <w:p w14:paraId="10A1D162">
      <w:pPr>
        <w:pStyle w:val="29"/>
        <w:numPr>
          <w:ilvl w:val="0"/>
          <w:numId w:val="2"/>
        </w:numPr>
      </w:pPr>
      <w:r>
        <w:t>Coordinate data and reporting inputs from PFIs and technical partners to ensure consistency, completeness, and audit-ready documentation.</w:t>
      </w:r>
    </w:p>
    <w:p w14:paraId="2AEA6728">
      <w:pPr>
        <w:pStyle w:val="29"/>
        <w:numPr>
          <w:ilvl w:val="0"/>
          <w:numId w:val="2"/>
        </w:numPr>
      </w:pPr>
      <w:r>
        <w:t>Support portfolio forecasting and liquidity planning inputs linked to projected disbursement demand.</w:t>
      </w:r>
    </w:p>
    <w:p w14:paraId="7D84391A">
      <w:pPr>
        <w:pStyle w:val="29"/>
        <w:numPr>
          <w:ilvl w:val="0"/>
          <w:numId w:val="2"/>
        </w:numPr>
      </w:pPr>
      <w:r>
        <w:t>Carry out any other related assignment tasks requested by Gargaara management and PIU within the scope of the role.</w:t>
      </w:r>
    </w:p>
    <w:p w14:paraId="68B8C66B">
      <w:pPr>
        <w:pStyle w:val="29"/>
      </w:pPr>
    </w:p>
    <w:p w14:paraId="548F96E6">
      <w:r>
        <w:rPr>
          <w:b/>
        </w:rPr>
        <w:t>4.  Deliverables</w:t>
      </w:r>
    </w:p>
    <w:p w14:paraId="239CEA85">
      <w:r>
        <w:t>Based on the Investment Officer's roles and responsibilities, the key deliverables expected are:</w:t>
      </w:r>
    </w:p>
    <w:p w14:paraId="35FDB098">
      <w:pPr>
        <w:pStyle w:val="29"/>
        <w:numPr>
          <w:ilvl w:val="0"/>
          <w:numId w:val="3"/>
        </w:numPr>
      </w:pPr>
      <w:r>
        <w:t>LVCF Operations Tracker Suite (pipeline tracker, allocation/disbursement tracker, portfolio and recovery tracker, risk and compliance log).</w:t>
      </w:r>
    </w:p>
    <w:p w14:paraId="606C99F9">
      <w:pPr>
        <w:pStyle w:val="29"/>
        <w:numPr>
          <w:ilvl w:val="0"/>
          <w:numId w:val="3"/>
        </w:numPr>
      </w:pPr>
      <w:r>
        <w:t>Monthly LVCF Operations Dashboard (pipeline movement, approvals, disbursement status, repayment status, and key risks/actions).</w:t>
      </w:r>
    </w:p>
    <w:p w14:paraId="415BCEBB">
      <w:pPr>
        <w:pStyle w:val="29"/>
        <w:numPr>
          <w:ilvl w:val="0"/>
          <w:numId w:val="3"/>
        </w:numPr>
      </w:pPr>
      <w:r>
        <w:t>Monthly Stakeholder Coordination Brief (issues raised, decisions taken, pending actions, and escalation points).</w:t>
      </w:r>
    </w:p>
    <w:p w14:paraId="7A16BDA3">
      <w:pPr>
        <w:pStyle w:val="29"/>
        <w:numPr>
          <w:ilvl w:val="0"/>
          <w:numId w:val="3"/>
        </w:numPr>
      </w:pPr>
      <w:r>
        <w:t>Quarterly Portfolio Performance Report (window-wise and PFI-wise analysis of portfolio quality and implementation progress).</w:t>
      </w:r>
    </w:p>
    <w:p w14:paraId="55761105">
      <w:pPr>
        <w:pStyle w:val="29"/>
        <w:numPr>
          <w:ilvl w:val="0"/>
          <w:numId w:val="3"/>
        </w:numPr>
      </w:pPr>
      <w:r>
        <w:t>Quarterly Reflows and Repayment Reconciliation Brief (expected versus actual repayments and exception analysis).</w:t>
      </w:r>
    </w:p>
    <w:p w14:paraId="2D77E1EE">
      <w:pPr>
        <w:pStyle w:val="29"/>
        <w:numPr>
          <w:ilvl w:val="0"/>
          <w:numId w:val="3"/>
        </w:numPr>
      </w:pPr>
      <w:r>
        <w:t>PFI Performance Scorecard (turnaround times, documentation quality, utilization, repayment discipline, and corrective action status).</w:t>
      </w:r>
    </w:p>
    <w:p w14:paraId="6B233DA0">
      <w:pPr>
        <w:pStyle w:val="29"/>
        <w:numPr>
          <w:ilvl w:val="0"/>
          <w:numId w:val="3"/>
        </w:numPr>
      </w:pPr>
      <w:r>
        <w:t>Compliance Monitoring Note (E&amp;S and exclusion compliance updates, AML/ABC exceptions, and mitigation actions).</w:t>
      </w:r>
    </w:p>
    <w:p w14:paraId="42001EFB">
      <w:pPr>
        <w:pStyle w:val="29"/>
        <w:numPr>
          <w:ilvl w:val="0"/>
          <w:numId w:val="3"/>
        </w:numPr>
      </w:pPr>
      <w:r>
        <w:t>Meeting Secretariat Pack (agendas, minutes, action trackers, and follow-up closure records for LVCF coordination forums).</w:t>
      </w:r>
    </w:p>
    <w:p w14:paraId="19B166C4">
      <w:pPr>
        <w:pStyle w:val="29"/>
        <w:numPr>
          <w:ilvl w:val="0"/>
          <w:numId w:val="3"/>
        </w:numPr>
      </w:pPr>
      <w:r>
        <w:t>Monthly progress reports and quarterly management briefs.</w:t>
      </w:r>
    </w:p>
    <w:p w14:paraId="45C0300A">
      <w:pPr>
        <w:pStyle w:val="29"/>
        <w:numPr>
          <w:ilvl w:val="0"/>
          <w:numId w:val="3"/>
        </w:numPr>
      </w:pPr>
      <w:r>
        <w:t>Completion Report (year-end) including achievements, portfolio trends, lessons learned, and recommended operational improvements.</w:t>
      </w:r>
    </w:p>
    <w:p w14:paraId="78FFCA5E">
      <w:r>
        <w:rPr>
          <w:b/>
        </w:rPr>
        <w:t>5.  Qualifications and Skills.</w:t>
      </w:r>
    </w:p>
    <w:p w14:paraId="08037715">
      <w:r>
        <w:t>The Investment Officer should possess the following qualifications and skills:</w:t>
      </w:r>
    </w:p>
    <w:p w14:paraId="07FC08B8">
      <w:pPr>
        <w:pStyle w:val="29"/>
        <w:numPr>
          <w:ilvl w:val="0"/>
          <w:numId w:val="4"/>
        </w:numPr>
      </w:pPr>
      <w:r>
        <w:t>Minimum Bachelor’s degree in finance, economics, agribusiness, business administration, development finance, or related field.</w:t>
      </w:r>
    </w:p>
    <w:p w14:paraId="6AE73523">
      <w:pPr>
        <w:pStyle w:val="29"/>
        <w:numPr>
          <w:ilvl w:val="0"/>
          <w:numId w:val="4"/>
        </w:numPr>
      </w:pPr>
      <w:r>
        <w:t>At least 6 years of relevant experience in investment operations, SME or agribusiness finance, portfolio management, or financial intermediary programs.</w:t>
      </w:r>
    </w:p>
    <w:p w14:paraId="42EE65B1">
      <w:pPr>
        <w:pStyle w:val="29"/>
        <w:numPr>
          <w:ilvl w:val="0"/>
          <w:numId w:val="4"/>
        </w:numPr>
      </w:pPr>
      <w:r>
        <w:t>Demonstrated experience supporting pipeline development, investment appraisal, and disbursement/portfolio operations in multi-stakeholder programs.</w:t>
      </w:r>
    </w:p>
    <w:p w14:paraId="4EC01962">
      <w:pPr>
        <w:pStyle w:val="29"/>
        <w:numPr>
          <w:ilvl w:val="0"/>
          <w:numId w:val="4"/>
        </w:numPr>
      </w:pPr>
      <w:r>
        <w:t>Strong knowledge of financial analysis, investment documentation, and operational reporting.</w:t>
      </w:r>
    </w:p>
    <w:p w14:paraId="3A9A9586">
      <w:pPr>
        <w:pStyle w:val="29"/>
        <w:numPr>
          <w:ilvl w:val="0"/>
          <w:numId w:val="4"/>
        </w:numPr>
      </w:pPr>
      <w:r>
        <w:t>Practical understanding of risk management, compliance controls, and safeguards coordination in development-financed operations.</w:t>
      </w:r>
    </w:p>
    <w:p w14:paraId="5767161C">
      <w:pPr>
        <w:pStyle w:val="29"/>
        <w:numPr>
          <w:ilvl w:val="0"/>
          <w:numId w:val="4"/>
        </w:numPr>
      </w:pPr>
      <w:r>
        <w:t>Experience working with government institutions, financial institutions, and private sector actors in Somalia or the Horn of Africa is highly desirable.</w:t>
      </w:r>
    </w:p>
    <w:p w14:paraId="28C8279C">
      <w:pPr>
        <w:pStyle w:val="29"/>
        <w:numPr>
          <w:ilvl w:val="0"/>
          <w:numId w:val="4"/>
        </w:numPr>
      </w:pPr>
      <w:r>
        <w:t>Excellent written and verbal communication skills in English; Somali language is an asset.</w:t>
      </w:r>
    </w:p>
    <w:p w14:paraId="21A453AE">
      <w:r>
        <w:rPr>
          <w:b/>
        </w:rPr>
        <w:t>6.  Skills and Competencies:</w:t>
      </w:r>
    </w:p>
    <w:p w14:paraId="382B030B">
      <w:pPr>
        <w:pStyle w:val="29"/>
        <w:numPr>
          <w:ilvl w:val="0"/>
          <w:numId w:val="5"/>
        </w:numPr>
      </w:pPr>
      <w:r>
        <w:t>Strong stakeholder coordination and relationship management across public and private institutions.</w:t>
      </w:r>
    </w:p>
    <w:p w14:paraId="652085C0">
      <w:pPr>
        <w:pStyle w:val="29"/>
        <w:numPr>
          <w:ilvl w:val="0"/>
          <w:numId w:val="5"/>
        </w:numPr>
      </w:pPr>
      <w:r>
        <w:t>High analytical rigor and ability to track complex operational workflows end-to-end.</w:t>
      </w:r>
    </w:p>
    <w:p w14:paraId="2BB7FEE7">
      <w:pPr>
        <w:pStyle w:val="29"/>
        <w:numPr>
          <w:ilvl w:val="0"/>
          <w:numId w:val="5"/>
        </w:numPr>
      </w:pPr>
      <w:r>
        <w:t>Strong organizational and reporting skills with attention to detail and data quality.</w:t>
      </w:r>
    </w:p>
    <w:p w14:paraId="4CBAA9D3">
      <w:pPr>
        <w:pStyle w:val="29"/>
        <w:numPr>
          <w:ilvl w:val="0"/>
          <w:numId w:val="5"/>
        </w:numPr>
      </w:pPr>
      <w:r>
        <w:t>Ability to identify implementation bottlenecks early and propose practical corrective actions.</w:t>
      </w:r>
    </w:p>
    <w:p w14:paraId="3011EF8D">
      <w:pPr>
        <w:pStyle w:val="29"/>
        <w:numPr>
          <w:ilvl w:val="0"/>
          <w:numId w:val="5"/>
        </w:numPr>
      </w:pPr>
      <w:r>
        <w:t>Professional integrity, confidentiality, and accountability in handling sensitive financial information.</w:t>
      </w:r>
    </w:p>
    <w:p w14:paraId="3B1FBD47">
      <w:pPr>
        <w:pStyle w:val="29"/>
        <w:numPr>
          <w:ilvl w:val="0"/>
          <w:numId w:val="5"/>
        </w:numPr>
      </w:pPr>
      <w:r>
        <w:t>Proficiency in Excel and standard reporting tools for pipeline and portfolio monitoring.</w:t>
      </w:r>
    </w:p>
    <w:p w14:paraId="4BAD2A74">
      <w:r>
        <w:rPr>
          <w:b/>
        </w:rPr>
        <w:t>7.  Reporting</w:t>
      </w:r>
    </w:p>
    <w:p w14:paraId="4D427FED">
      <w:r>
        <w:t>The Investment Officer will report to Gargaara CEO. The Officer will maintain functional reporting and coordination with the DRIVE PIU at the Ministry of Finance for portfolio reporting, funds-flow monitoring, and governance submissions. The Officer will also coordinate technically with the World Bank, PFIs, MoLFR, the third-party investment firm, and environmental and social specialists to ensure coherent and compliant implementation.</w:t>
      </w:r>
    </w:p>
    <w:p w14:paraId="0B32947F">
      <w:r>
        <w:rPr>
          <w:b/>
        </w:rPr>
        <w:t>8.  Duration</w:t>
      </w:r>
    </w:p>
    <w:p w14:paraId="2E77871B">
      <w:r>
        <w:t>The duration of the assignment is initially for a period of 12 months with possible extension based on performance and availability of project funding.</w:t>
      </w:r>
    </w:p>
    <w:p w14:paraId="53396B25"/>
    <w:sectPr>
      <w:footerReference r:id="rId7" w:type="first"/>
      <w:footerReference r:id="rId5" w:type="default"/>
      <w:footerReference r:id="rId6" w:type="even"/>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7405D">
    <w:pPr>
      <w:pStyle w:val="13"/>
    </w:pPr>
    <w:r>
      <mc:AlternateContent>
        <mc:Choice Requires="wps">
          <w:drawing>
            <wp:anchor distT="0" distB="0" distL="0" distR="0" simplePos="0" relativeHeight="251661312" behindDoc="0" locked="0" layoutInCell="1" allowOverlap="1">
              <wp:simplePos x="0" y="0"/>
              <wp:positionH relativeFrom="page">
                <wp:align>right</wp:align>
              </wp:positionH>
              <wp:positionV relativeFrom="page">
                <wp:align>bottom</wp:align>
              </wp:positionV>
              <wp:extent cx="1170305" cy="370205"/>
              <wp:effectExtent l="0" t="0" r="0" b="0"/>
              <wp:wrapNone/>
              <wp:docPr id="74263219" name="Text Box 3" descr="Official Use Only"/>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6B3D334C">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9.15pt;width:92.15pt;mso-position-horizontal:right;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s/J+/VAAAABAEAAA8AAAAAAAAAAQAgAAAAIgAAAGRycy9kb3du&#10;cmV2LnhtbFBLAQIUABQAAAAIAIdO4kAgGHNYOwIAAHUEAAAOAAAAAAAAAAEAIAAAACQBAABkcnMv&#10;ZTJvRG9jLnhtbFBLBQYAAAAABgAGAFkBAADRBQAAAAA=&#10;">
              <v:fill on="f" focussize="0,0"/>
              <v:stroke on="f"/>
              <v:imagedata o:title=""/>
              <o:lock v:ext="edit" aspectratio="f"/>
              <v:textbox inset="0mm,0mm,20pt,15pt" style="mso-fit-shape-to-text:t;">
                <w:txbxContent>
                  <w:p w14:paraId="6B3D334C">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D8F29">
    <w:pPr>
      <w:pStyle w:val="13"/>
    </w:pPr>
    <w: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bottom</wp:align>
              </wp:positionV>
              <wp:extent cx="1170305" cy="370205"/>
              <wp:effectExtent l="0" t="0" r="0" b="0"/>
              <wp:wrapNone/>
              <wp:docPr id="1547365395" name="Text Box 2" descr="Official Use Only"/>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5FED5E4C">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9.15pt;width:92.15pt;mso-position-horizontal:righ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s/J+/VAAAABAEAAA8AAAAAAAAAAQAgAAAAIgAAAGRycy9kb3du&#10;cmV2LnhtbFBLAQIUABQAAAAIAIdO4kBCqCdiOwIAAHcEAAAOAAAAAAAAAAEAIAAAACQBAABkcnMv&#10;ZTJvRG9jLnhtbFBLBQYAAAAABgAGAFkBAADRBQAAAAA=&#10;">
              <v:fill on="f" focussize="0,0"/>
              <v:stroke on="f"/>
              <v:imagedata o:title=""/>
              <o:lock v:ext="edit" aspectratio="f"/>
              <v:textbox inset="0mm,0mm,20pt,15pt" style="mso-fit-shape-to-text:t;">
                <w:txbxContent>
                  <w:p w14:paraId="5FED5E4C">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DC981">
    <w:pPr>
      <w:pStyle w:val="13"/>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70305" cy="370205"/>
              <wp:effectExtent l="0" t="0" r="0" b="0"/>
              <wp:wrapNone/>
              <wp:docPr id="280365048" name="Text Box 1" descr="Official Use Only"/>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1EE2E6F4">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9.15pt;width:92.1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s/J+/VAAAABAEAAA8AAAAAAAAAAQAgAAAAIgAAAGRycy9kb3du&#10;cmV2LnhtbFBLAQIUABQAAAAIAIdO4kBmKbQlOwIAAHYEAAAOAAAAAAAAAAEAIAAAACQBAABkcnMv&#10;ZTJvRG9jLnhtbFBLBQYAAAAABgAGAFkBAADRBQAAAAA=&#10;">
              <v:fill on="f" focussize="0,0"/>
              <v:stroke on="f"/>
              <v:imagedata o:title=""/>
              <o:lock v:ext="edit" aspectratio="f"/>
              <v:textbox inset="0mm,0mm,20pt,15pt" style="mso-fit-shape-to-text:t;">
                <w:txbxContent>
                  <w:p w14:paraId="1EE2E6F4">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C326C"/>
    <w:multiLevelType w:val="multilevel"/>
    <w:tmpl w:val="04CC326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7976749"/>
    <w:multiLevelType w:val="multilevel"/>
    <w:tmpl w:val="3797674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37C36E3"/>
    <w:multiLevelType w:val="multilevel"/>
    <w:tmpl w:val="437C36E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EF56EDE"/>
    <w:multiLevelType w:val="multilevel"/>
    <w:tmpl w:val="6EF56ED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82624E6"/>
    <w:multiLevelType w:val="multilevel"/>
    <w:tmpl w:val="782624E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95"/>
    <w:rsid w:val="00231F70"/>
    <w:rsid w:val="00236B63"/>
    <w:rsid w:val="005B44D1"/>
    <w:rsid w:val="006705EE"/>
    <w:rsid w:val="006A52C2"/>
    <w:rsid w:val="006B00A9"/>
    <w:rsid w:val="007463F0"/>
    <w:rsid w:val="0097101A"/>
    <w:rsid w:val="00B26595"/>
    <w:rsid w:val="00CE30EE"/>
    <w:rsid w:val="00D21282"/>
    <w:rsid w:val="00DD2224"/>
    <w:rsid w:val="00E254A7"/>
    <w:rsid w:val="6DBB17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4"/>
    <w:unhideWhenUsed/>
    <w:uiPriority w:val="99"/>
    <w:pPr>
      <w:tabs>
        <w:tab w:val="center" w:pos="4680"/>
        <w:tab w:val="right" w:pos="9360"/>
      </w:tabs>
      <w:spacing w:after="0" w:line="240" w:lineRule="auto"/>
    </w:pPr>
  </w:style>
  <w:style w:type="paragraph" w:styleId="14">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6">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1"/>
    <w:link w:val="4"/>
    <w:semiHidden/>
    <w:uiPriority w:val="9"/>
    <w:rPr>
      <w:rFonts w:eastAsiaTheme="majorEastAsia" w:cstheme="majorBidi"/>
      <w:color w:val="104862" w:themeColor="accent1" w:themeShade="BF"/>
      <w:sz w:val="28"/>
      <w:szCs w:val="28"/>
    </w:rPr>
  </w:style>
  <w:style w:type="character" w:customStyle="1" w:styleId="19">
    <w:name w:val="Heading 4 Char"/>
    <w:basedOn w:val="11"/>
    <w:link w:val="5"/>
    <w:semiHidden/>
    <w:uiPriority w:val="9"/>
    <w:rPr>
      <w:rFonts w:eastAsiaTheme="majorEastAsia" w:cstheme="majorBidi"/>
      <w:i/>
      <w:iCs/>
      <w:color w:val="104862" w:themeColor="accent1" w:themeShade="BF"/>
    </w:rPr>
  </w:style>
  <w:style w:type="character" w:customStyle="1" w:styleId="20">
    <w:name w:val="Heading 5 Char"/>
    <w:basedOn w:val="11"/>
    <w:link w:val="6"/>
    <w:semiHidden/>
    <w:uiPriority w:val="9"/>
    <w:rPr>
      <w:rFonts w:eastAsiaTheme="majorEastAsia" w:cstheme="majorBidi"/>
      <w:color w:val="104862" w:themeColor="accent1" w:themeShade="BF"/>
    </w:rPr>
  </w:style>
  <w:style w:type="character" w:customStyle="1" w:styleId="21">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1"/>
    <w:link w:val="15"/>
    <w:uiPriority w:val="10"/>
    <w:rPr>
      <w:rFonts w:asciiTheme="majorHAnsi" w:hAnsiTheme="majorHAnsi" w:eastAsiaTheme="majorEastAsia" w:cstheme="majorBidi"/>
      <w:spacing w:val="-10"/>
      <w:kern w:val="28"/>
      <w:sz w:val="56"/>
      <w:szCs w:val="56"/>
    </w:rPr>
  </w:style>
  <w:style w:type="character" w:customStyle="1" w:styleId="26">
    <w:name w:val="Subtitle Char"/>
    <w:basedOn w:val="11"/>
    <w:link w:val="14"/>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1"/>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Intense Quote Char"/>
    <w:basedOn w:val="11"/>
    <w:link w:val="31"/>
    <w:uiPriority w:val="30"/>
    <w:rPr>
      <w:i/>
      <w:iCs/>
      <w:color w:val="104862" w:themeColor="accent1" w:themeShade="BF"/>
    </w:rPr>
  </w:style>
  <w:style w:type="character" w:customStyle="1" w:styleId="33">
    <w:name w:val="Intense Reference"/>
    <w:basedOn w:val="11"/>
    <w:qFormat/>
    <w:uiPriority w:val="32"/>
    <w:rPr>
      <w:b/>
      <w:bCs/>
      <w:smallCaps/>
      <w:color w:val="104862" w:themeColor="accent1" w:themeShade="BF"/>
      <w:spacing w:val="5"/>
    </w:rPr>
  </w:style>
  <w:style w:type="character" w:customStyle="1" w:styleId="34">
    <w:name w:val="Footer Char"/>
    <w:basedOn w:val="11"/>
    <w:link w:val="13"/>
    <w:uiPriority w:val="99"/>
  </w:style>
  <w:style w:type="paragraph" w:customStyle="1" w:styleId="35">
    <w:name w:val="Revision"/>
    <w:hidden/>
    <w:semiHidden/>
    <w:uiPriority w:val="99"/>
    <w:pPr>
      <w:spacing w:after="0" w:line="240" w:lineRule="auto"/>
    </w:pPr>
    <w:rPr>
      <w:rFonts w:asciiTheme="minorHAnsi" w:hAnsiTheme="minorHAnsi" w:eastAsiaTheme="minorHAnsi" w:cstheme="minorBidi"/>
      <w:kern w:val="2"/>
      <w:sz w:val="24"/>
      <w:szCs w:val="24"/>
      <w:lang w:val="en-US" w:eastAsia="en-US"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774219-63BB-445C-8EC7-7CFEAE1364A9}">
  <ds:schemaRefs/>
</ds:datastoreItem>
</file>

<file path=customXml/itemProps3.xml><?xml version="1.0" encoding="utf-8"?>
<ds:datastoreItem xmlns:ds="http://schemas.openxmlformats.org/officeDocument/2006/customXml" ds:itemID="{89BF55B2-A317-49B1-8899-9B0DD2C95F07}">
  <ds:schemaRefs/>
</ds:datastoreItem>
</file>

<file path=customXml/itemProps4.xml><?xml version="1.0" encoding="utf-8"?>
<ds:datastoreItem xmlns:ds="http://schemas.openxmlformats.org/officeDocument/2006/customXml" ds:itemID="{FA919EFE-2B34-4E30-9DBC-7EC42447F8E2}">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1133</Words>
  <Characters>7980</Characters>
  <Lines>153</Lines>
  <Paragraphs>87</Paragraphs>
  <TotalTime>21</TotalTime>
  <ScaleCrop>false</ScaleCrop>
  <LinksUpToDate>false</LinksUpToDate>
  <CharactersWithSpaces>9044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2026-05-17T14:08:00Z</dcterms:created>
  <dc:creator>Abdiaziz Khalif</dc:creator>
  <cp:lastModifiedBy>Mohamud Abdullahi</cp:lastModifiedBy>
  <dcterms:modified xsi:type="dcterms:W3CDTF">2026-05-19T08:25:42Z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10b607f8,5c3aec13,46d2ab3</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2026-05-17T14:08:13Z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c50daa8b-1ed1-4b3e-9746-f464a32c25c2</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KSOTemplateDocerSaveRecord">
    <vt:lpwstr>eyJoZGlkIjoiMzNkODkyMmJmM2NiNjZkNTRiYTAzMzUxNzVkM2VhYzIiLCJ1c2VySWQiOiIzNzI4NzIzNzkxNDIzIn0=</vt:lpwstr>
  </property>
  <property fmtid="{D5CDD505-2E9C-101B-9397-08002B2CF9AE}" pid="15" name="KSOProductBuildVer">
    <vt:lpwstr>1033-12.1.0.26372</vt:lpwstr>
  </property>
  <property fmtid="{D5CDD505-2E9C-101B-9397-08002B2CF9AE}" pid="16" name="ICV">
    <vt:lpwstr>4663DAB07A3846B0885EA6CA6819AF73_12</vt:lpwstr>
  </property>
</Properties>
</file>