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ECCB" w14:textId="77777777" w:rsidR="00CE402E" w:rsidRPr="0048744A" w:rsidRDefault="00CE402E" w:rsidP="00CE402E">
      <w:pPr>
        <w:pStyle w:val="BodyText2"/>
        <w:jc w:val="center"/>
        <w:rPr>
          <w:b/>
          <w:bCs/>
          <w:sz w:val="28"/>
          <w:szCs w:val="28"/>
        </w:rPr>
      </w:pPr>
      <w:r w:rsidRPr="0048744A">
        <w:rPr>
          <w:b/>
          <w:bCs/>
          <w:sz w:val="28"/>
          <w:szCs w:val="28"/>
        </w:rPr>
        <w:t>FEDERAL REPUBLIC OF SOMALIA</w:t>
      </w:r>
    </w:p>
    <w:p w14:paraId="32211A76" w14:textId="77777777" w:rsidR="00CE402E" w:rsidRPr="007B672A" w:rsidRDefault="00CE402E" w:rsidP="00CE402E">
      <w:pPr>
        <w:jc w:val="center"/>
        <w:rPr>
          <w:rFonts w:ascii="Calibri" w:hAnsi="Calibri" w:cs="Calibri"/>
          <w:sz w:val="22"/>
          <w:szCs w:val="22"/>
        </w:rPr>
      </w:pPr>
      <w:r w:rsidRPr="007B672A">
        <w:rPr>
          <w:rFonts w:ascii="Calibri" w:hAnsi="Calibri" w:cs="Calibri"/>
          <w:noProof/>
          <w:sz w:val="22"/>
          <w:szCs w:val="22"/>
        </w:rPr>
        <w:drawing>
          <wp:inline distT="0" distB="0" distL="0" distR="0" wp14:anchorId="7B4142A9" wp14:editId="11A759D0">
            <wp:extent cx="990600" cy="847725"/>
            <wp:effectExtent l="0" t="0" r="0" b="9525"/>
            <wp:docPr id="34" name="Picture 34" descr="A blue shield with two tigers and a white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p>
    <w:p w14:paraId="3B00FE3A" w14:textId="77777777" w:rsidR="00CE402E" w:rsidRPr="005C4BD0" w:rsidRDefault="00CE402E" w:rsidP="00CE402E">
      <w:pPr>
        <w:ind w:left="2160"/>
        <w:rPr>
          <w:rFonts w:ascii="Times New Roman" w:hAnsi="Times New Roman" w:cs="Times New Roman"/>
          <w:b/>
          <w:bCs/>
          <w:sz w:val="22"/>
          <w:szCs w:val="22"/>
        </w:rPr>
      </w:pPr>
      <w:r w:rsidRPr="005C4BD0">
        <w:rPr>
          <w:rFonts w:ascii="Calibri" w:hAnsi="Calibri" w:cs="Calibri"/>
          <w:b/>
          <w:bCs/>
          <w:sz w:val="22"/>
          <w:szCs w:val="22"/>
        </w:rPr>
        <w:t xml:space="preserve">        </w:t>
      </w:r>
      <w:r w:rsidRPr="005C4BD0">
        <w:rPr>
          <w:rFonts w:ascii="Times New Roman" w:hAnsi="Times New Roman" w:cs="Times New Roman"/>
          <w:b/>
          <w:bCs/>
          <w:sz w:val="22"/>
          <w:szCs w:val="22"/>
        </w:rPr>
        <w:t>Financial Sector Development Project (FSDP)</w:t>
      </w:r>
    </w:p>
    <w:p w14:paraId="3025DD59" w14:textId="77777777" w:rsidR="00CE402E" w:rsidRPr="005C4BD0" w:rsidRDefault="00CE402E" w:rsidP="00CE402E">
      <w:pPr>
        <w:pBdr>
          <w:top w:val="nil"/>
          <w:left w:val="nil"/>
          <w:bottom w:val="nil"/>
          <w:right w:val="nil"/>
          <w:between w:val="nil"/>
          <w:bar w:val="nil"/>
        </w:pBdr>
        <w:jc w:val="center"/>
        <w:rPr>
          <w:rFonts w:ascii="Times New Roman" w:eastAsia="Arial Unicode MS" w:hAnsi="Times New Roman" w:cs="Times New Roman"/>
          <w:b/>
          <w:bCs/>
          <w:color w:val="000000"/>
          <w:sz w:val="22"/>
          <w:szCs w:val="22"/>
          <w:bdr w:val="nil"/>
        </w:rPr>
      </w:pPr>
      <w:r w:rsidRPr="005C4BD0">
        <w:rPr>
          <w:rFonts w:ascii="Times New Roman" w:eastAsia="Arial Unicode MS" w:hAnsi="Times New Roman" w:cs="Times New Roman"/>
          <w:b/>
          <w:bCs/>
          <w:color w:val="000000"/>
          <w:sz w:val="22"/>
          <w:szCs w:val="22"/>
          <w:bdr w:val="nil"/>
        </w:rPr>
        <w:t>Terms of Reference</w:t>
      </w:r>
    </w:p>
    <w:p w14:paraId="56A03C52" w14:textId="77777777" w:rsidR="00CE402E" w:rsidRPr="005C4BD0" w:rsidRDefault="00CE402E" w:rsidP="00CE402E">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14:ligatures w14:val="none"/>
        </w:rPr>
      </w:pPr>
      <w:r w:rsidRPr="005C4BD0">
        <w:rPr>
          <w:rFonts w:ascii="Times New Roman" w:hAnsi="Times New Roman" w:cs="Times New Roman"/>
          <w:b/>
          <w:bCs/>
          <w:sz w:val="22"/>
          <w:szCs w:val="22"/>
        </w:rPr>
        <w:t>Individual Consultancy Services</w:t>
      </w:r>
      <w:r w:rsidRPr="005C4BD0">
        <w:rPr>
          <w:rFonts w:ascii="Times New Roman" w:eastAsia="Times New Roman" w:hAnsi="Times New Roman" w:cs="Times New Roman"/>
          <w:b/>
          <w:bCs/>
          <w:kern w:val="0"/>
          <w:sz w:val="22"/>
          <w:szCs w:val="22"/>
          <w14:ligatures w14:val="none"/>
        </w:rPr>
        <w:t xml:space="preserve"> for </w:t>
      </w:r>
      <w:r w:rsidRPr="005C4BD0">
        <w:rPr>
          <w:rFonts w:ascii="Times New Roman" w:eastAsia="Times New Roman" w:hAnsi="Times New Roman" w:cs="Times New Roman"/>
          <w:b/>
          <w:bCs/>
          <w:color w:val="000000" w:themeColor="text1"/>
          <w:kern w:val="0"/>
          <w:sz w:val="22"/>
          <w:szCs w:val="22"/>
          <w14:ligatures w14:val="none"/>
        </w:rPr>
        <w:t>Senior Advisor – Credit Policy and Risk Management</w:t>
      </w:r>
    </w:p>
    <w:p w14:paraId="37A976D9" w14:textId="5C3707C1" w:rsidR="00CE402E" w:rsidRPr="005C4BD0" w:rsidRDefault="00CE402E" w:rsidP="00CE402E">
      <w:pPr>
        <w:tabs>
          <w:tab w:val="left" w:pos="720"/>
          <w:tab w:val="right" w:leader="dot" w:pos="8640"/>
        </w:tabs>
        <w:spacing w:line="240" w:lineRule="auto"/>
        <w:contextualSpacing/>
        <w:jc w:val="center"/>
        <w:rPr>
          <w:rFonts w:ascii="Times New Roman" w:eastAsia="Times New Roman" w:hAnsi="Times New Roman" w:cs="Times New Roman"/>
          <w:b/>
          <w:bCs/>
          <w:kern w:val="0"/>
          <w:sz w:val="22"/>
          <w:szCs w:val="22"/>
          <w14:ligatures w14:val="none"/>
        </w:rPr>
      </w:pPr>
      <w:r w:rsidRPr="005C4BD0">
        <w:rPr>
          <w:rFonts w:ascii="Times New Roman" w:eastAsia="Times New Roman" w:hAnsi="Times New Roman" w:cs="Times New Roman"/>
          <w:b/>
          <w:bCs/>
          <w:kern w:val="0"/>
          <w:sz w:val="22"/>
          <w:szCs w:val="22"/>
          <w14:ligatures w14:val="none"/>
        </w:rPr>
        <w:t>for the Somali Development and Reconstruction Bank (SDRB)</w:t>
      </w:r>
    </w:p>
    <w:p w14:paraId="4C718B84" w14:textId="77777777" w:rsidR="00CE402E" w:rsidRPr="005C4BD0" w:rsidRDefault="00CE402E" w:rsidP="00CE402E">
      <w:pPr>
        <w:tabs>
          <w:tab w:val="left" w:pos="720"/>
          <w:tab w:val="right" w:leader="dot" w:pos="8640"/>
        </w:tabs>
        <w:contextualSpacing/>
        <w:jc w:val="center"/>
        <w:rPr>
          <w:rFonts w:ascii="Times New Roman" w:eastAsia="Times New Roman" w:hAnsi="Times New Roman" w:cs="Times New Roman"/>
          <w:b/>
          <w:bCs/>
          <w:kern w:val="0"/>
          <w:sz w:val="22"/>
          <w:szCs w:val="22"/>
          <w14:ligatures w14:val="none"/>
        </w:rPr>
      </w:pPr>
    </w:p>
    <w:p w14:paraId="57C2C7EE" w14:textId="5EC40755" w:rsidR="00B859EB" w:rsidRPr="005C4BD0"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2"/>
          <w:szCs w:val="22"/>
          <w14:ligatures w14:val="none"/>
        </w:rPr>
      </w:pPr>
      <w:r w:rsidRPr="005C4BD0">
        <w:rPr>
          <w:rFonts w:ascii="Times New Roman" w:eastAsia="Times New Roman" w:hAnsi="Times New Roman" w:cs="Times New Roman"/>
          <w:b/>
          <w:bCs/>
          <w:color w:val="000000" w:themeColor="text1"/>
          <w:kern w:val="36"/>
          <w:sz w:val="22"/>
          <w:szCs w:val="22"/>
          <w14:ligatures w14:val="none"/>
        </w:rPr>
        <w:t>1. B</w:t>
      </w:r>
      <w:r w:rsidR="00C22214" w:rsidRPr="005C4BD0">
        <w:rPr>
          <w:rFonts w:ascii="Times New Roman" w:eastAsia="Times New Roman" w:hAnsi="Times New Roman" w:cs="Times New Roman"/>
          <w:b/>
          <w:bCs/>
          <w:color w:val="000000" w:themeColor="text1"/>
          <w:kern w:val="36"/>
          <w:sz w:val="22"/>
          <w:szCs w:val="22"/>
          <w14:ligatures w14:val="none"/>
        </w:rPr>
        <w:t>ackground</w:t>
      </w:r>
    </w:p>
    <w:p w14:paraId="79B75CF9" w14:textId="77777777" w:rsidR="00CE402E" w:rsidRPr="005C4BD0" w:rsidRDefault="00CE402E" w:rsidP="00CE402E">
      <w:pPr>
        <w:spacing w:before="100" w:beforeAutospacing="1" w:after="100" w:afterAutospacing="1" w:line="276" w:lineRule="auto"/>
        <w:jc w:val="both"/>
        <w:outlineLvl w:val="2"/>
        <w:rPr>
          <w:rFonts w:ascii="Times New Roman" w:eastAsia="Times New Roman" w:hAnsi="Times New Roman" w:cs="Times New Roman"/>
          <w:b/>
          <w:bCs/>
          <w:kern w:val="0"/>
          <w:sz w:val="22"/>
          <w:szCs w:val="22"/>
          <w14:ligatures w14:val="none"/>
        </w:rPr>
      </w:pPr>
      <w:r w:rsidRPr="005C4BD0">
        <w:rPr>
          <w:rFonts w:ascii="Times New Roman" w:eastAsia="Calibri" w:hAnsi="Times New Roman" w:cs="Times New Roman"/>
          <w:sz w:val="22"/>
          <w:szCs w:val="22"/>
        </w:rPr>
        <w:t xml:space="preserve">The Ministry of Finance of the Federal Republic of Somalia has received financing from the African Development Bank toward the cost of the </w:t>
      </w:r>
      <w:r w:rsidRPr="005C4BD0">
        <w:rPr>
          <w:rFonts w:ascii="Times New Roman" w:hAnsi="Times New Roman" w:cs="Times New Roman"/>
          <w:sz w:val="22"/>
          <w:szCs w:val="22"/>
        </w:rPr>
        <w:t>Financial Sector Development Project (FSDP</w:t>
      </w:r>
      <w:r w:rsidRPr="005C4BD0">
        <w:rPr>
          <w:rFonts w:ascii="Times New Roman" w:eastAsia="Calibri" w:hAnsi="Times New Roman" w:cs="Times New Roman"/>
          <w:sz w:val="22"/>
          <w:szCs w:val="22"/>
        </w:rPr>
        <w:t xml:space="preserve">). </w:t>
      </w:r>
      <w:r w:rsidRPr="005C4BD0">
        <w:rPr>
          <w:rFonts w:ascii="Times New Roman" w:hAnsi="Times New Roman" w:cs="Times New Roman"/>
          <w:sz w:val="22"/>
          <w:szCs w:val="22"/>
        </w:rPr>
        <w:t xml:space="preserve">The Ministry intends to apply part of the agreed amount for this grant to payments under the contract for </w:t>
      </w:r>
      <w:r w:rsidRPr="005C4BD0">
        <w:rPr>
          <w:rFonts w:ascii="Times New Roman" w:eastAsiaTheme="majorEastAsia" w:hAnsi="Times New Roman" w:cs="Times New Roman"/>
          <w:color w:val="000000" w:themeColor="text1"/>
          <w:sz w:val="22"/>
          <w:szCs w:val="22"/>
        </w:rPr>
        <w:t>Investment Specialist – Energy, Somali Development and Reconstruction Bank (SDRB)</w:t>
      </w:r>
      <w:r w:rsidRPr="005C4BD0">
        <w:rPr>
          <w:rFonts w:ascii="Times New Roman" w:hAnsi="Times New Roman" w:cs="Times New Roman"/>
          <w:sz w:val="22"/>
          <w:szCs w:val="22"/>
        </w:rPr>
        <w:t>.</w:t>
      </w:r>
      <w:r w:rsidRPr="005C4BD0">
        <w:rPr>
          <w:rFonts w:ascii="Times New Roman" w:eastAsia="Calibri" w:hAnsi="Times New Roman" w:cs="Times New Roman"/>
          <w:sz w:val="22"/>
          <w:szCs w:val="22"/>
        </w:rPr>
        <w:t xml:space="preserve"> </w:t>
      </w:r>
      <w:r w:rsidRPr="005C4BD0">
        <w:rPr>
          <w:rFonts w:ascii="Times New Roman" w:hAnsi="Times New Roman" w:cs="Times New Roman"/>
          <w:spacing w:val="-3"/>
          <w:sz w:val="22"/>
          <w:szCs w:val="22"/>
        </w:rPr>
        <w:t xml:space="preserve">The principal objectives of </w:t>
      </w:r>
      <w:r w:rsidRPr="005C4BD0">
        <w:rPr>
          <w:rFonts w:ascii="Times New Roman" w:hAnsi="Times New Roman" w:cs="Times New Roman"/>
          <w:sz w:val="22"/>
          <w:szCs w:val="22"/>
        </w:rPr>
        <w:t>FSDP</w:t>
      </w:r>
      <w:r w:rsidRPr="005C4BD0">
        <w:rPr>
          <w:rFonts w:ascii="Times New Roman" w:hAnsi="Times New Roman" w:cs="Times New Roman"/>
          <w:spacing w:val="-3"/>
          <w:sz w:val="22"/>
          <w:szCs w:val="22"/>
        </w:rPr>
        <w:t xml:space="preserve"> are </w:t>
      </w:r>
      <w:r w:rsidRPr="005C4BD0">
        <w:rPr>
          <w:rFonts w:ascii="Times New Roman" w:hAnsi="Times New Roman" w:cs="Times New Roman"/>
          <w:sz w:val="22"/>
          <w:szCs w:val="22"/>
        </w:rPr>
        <w:t>to Strengthen Somali financial institutions to increase financial resilience, financial inclusion, and private sector investments in financial services, aligning them with global standards and facilitating connections with global networks.</w:t>
      </w:r>
    </w:p>
    <w:p w14:paraId="0A76B1B9" w14:textId="77777777" w:rsidR="00CE402E" w:rsidRPr="005C4BD0" w:rsidRDefault="00CE402E" w:rsidP="00CE402E">
      <w:pPr>
        <w:spacing w:line="276" w:lineRule="auto"/>
        <w:jc w:val="both"/>
        <w:rPr>
          <w:rFonts w:ascii="Times New Roman" w:hAnsi="Times New Roman" w:cs="Times New Roman"/>
          <w:sz w:val="22"/>
          <w:szCs w:val="22"/>
        </w:rPr>
      </w:pPr>
      <w:r w:rsidRPr="005C4BD0">
        <w:rPr>
          <w:rFonts w:ascii="Times New Roman" w:hAnsi="Times New Roman" w:cs="Times New Roman"/>
          <w:sz w:val="22"/>
          <w:szCs w:val="22"/>
        </w:rPr>
        <w:t>The specific objectives of the project are to (</w:t>
      </w:r>
      <w:proofErr w:type="spellStart"/>
      <w:r w:rsidRPr="005C4BD0">
        <w:rPr>
          <w:rFonts w:ascii="Times New Roman" w:hAnsi="Times New Roman" w:cs="Times New Roman"/>
          <w:sz w:val="22"/>
          <w:szCs w:val="22"/>
        </w:rPr>
        <w:t>i</w:t>
      </w:r>
      <w:proofErr w:type="spellEnd"/>
      <w:r w:rsidRPr="005C4BD0">
        <w:rPr>
          <w:rFonts w:ascii="Times New Roman" w:hAnsi="Times New Roman" w:cs="Times New Roman"/>
          <w:sz w:val="22"/>
          <w:szCs w:val="22"/>
        </w:rPr>
        <w:t>) enhance financial sector stability within the country and integrate a robust framework to attract sustainable financing for development; (ii) boost the financial sector's contribution to the Gross Domestic Product (GDP): (iii) improve private sector access to credit; iv) Accelerate economic recovery in the post-conflict scenario; (iv) promote price stability; (v) expand financial inclusion by increasing the number of individuals accessing financial services; and (vi) strengthen its AML/CFT framework and improve its ability to combat money laundering and terrorism financing, thereby enhancing its connectivity to the international financial system.</w:t>
      </w:r>
    </w:p>
    <w:p w14:paraId="068CC407" w14:textId="77777777" w:rsidR="00CE402E" w:rsidRPr="005C4BD0" w:rsidRDefault="00CE402E" w:rsidP="00CE402E">
      <w:pPr>
        <w:pStyle w:val="NormalWeb"/>
        <w:spacing w:line="276" w:lineRule="auto"/>
        <w:jc w:val="both"/>
        <w:rPr>
          <w:sz w:val="22"/>
          <w:szCs w:val="22"/>
        </w:rPr>
      </w:pPr>
      <w:r w:rsidRPr="005C4BD0">
        <w:rPr>
          <w:sz w:val="22"/>
          <w:szCs w:val="22"/>
        </w:rPr>
        <w:t>The project comprises four components: (</w:t>
      </w:r>
      <w:proofErr w:type="spellStart"/>
      <w:r w:rsidRPr="005C4BD0">
        <w:rPr>
          <w:sz w:val="22"/>
          <w:szCs w:val="22"/>
        </w:rPr>
        <w:t>i</w:t>
      </w:r>
      <w:proofErr w:type="spellEnd"/>
      <w:r w:rsidRPr="005C4BD0">
        <w:rPr>
          <w:sz w:val="22"/>
          <w:szCs w:val="22"/>
        </w:rPr>
        <w:t>) support to the Central Bank of Somalia, (ii) re-engineering the Somali Development and Reconstruction Bank (SDRB), (iii) enhancing support to the Financial Reporting Center, and (iv) strengthening capacity for project management.</w:t>
      </w:r>
    </w:p>
    <w:p w14:paraId="667CE63A" w14:textId="77777777" w:rsidR="00B859EB" w:rsidRPr="005C4BD0" w:rsidRDefault="00B859EB" w:rsidP="00F6704D">
      <w:pPr>
        <w:spacing w:before="100" w:beforeAutospacing="1" w:after="100" w:afterAutospacing="1" w:line="240" w:lineRule="auto"/>
        <w:jc w:val="both"/>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The Somali Development and Reconstruction Bank (SDRB) was originally established in 1968 to provide medium- and long-term financing to Somalia’s private sector and strategic economic sectors. The bank ceased operations following the collapse of state institutions in 1991 and remained dormant until its reconstitution in 2012 under Presidential Decree No. 236.</w:t>
      </w:r>
    </w:p>
    <w:p w14:paraId="60992712" w14:textId="77777777" w:rsidR="00B859EB" w:rsidRPr="005C4BD0" w:rsidRDefault="00B859EB" w:rsidP="00F6704D">
      <w:pPr>
        <w:spacing w:before="100" w:beforeAutospacing="1" w:after="100" w:afterAutospacing="1" w:line="240" w:lineRule="auto"/>
        <w:jc w:val="both"/>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In 2024, the Government of Somalia initiated the operational revival of SDRB as a national development finance institution mandated to mobilize and deploy long-term capital for priority sectors including agriculture, infrastructure, energy, housing, and small and medium enterprises (SMEs). The bank is </w:t>
      </w:r>
      <w:r w:rsidRPr="005C4BD0">
        <w:rPr>
          <w:rFonts w:ascii="Times New Roman" w:eastAsia="Times New Roman" w:hAnsi="Times New Roman" w:cs="Times New Roman"/>
          <w:color w:val="000000" w:themeColor="text1"/>
          <w:kern w:val="0"/>
          <w:sz w:val="22"/>
          <w:szCs w:val="22"/>
          <w14:ligatures w14:val="none"/>
        </w:rPr>
        <w:lastRenderedPageBreak/>
        <w:t>intended to play a catalytic role in mobilizing investment, crowding in private capital, and supporting Somalia’s economic recovery and structural transformation.</w:t>
      </w:r>
    </w:p>
    <w:p w14:paraId="6E7CBBDF" w14:textId="7408CE56" w:rsidR="00B859EB" w:rsidRPr="005C4BD0" w:rsidRDefault="00B859EB" w:rsidP="00F6704D">
      <w:pPr>
        <w:pStyle w:val="p1"/>
        <w:rPr>
          <w:color w:val="000000" w:themeColor="text1"/>
          <w:sz w:val="22"/>
          <w:szCs w:val="22"/>
        </w:rPr>
      </w:pPr>
      <w:r w:rsidRPr="005C4BD0">
        <w:rPr>
          <w:color w:val="000000" w:themeColor="text1"/>
          <w:sz w:val="22"/>
          <w:szCs w:val="22"/>
        </w:rPr>
        <w:t>As SDRB transitions from institutional establishment to operational readiness, a key priority is the development of robust lending frameworks, credit procedures, and risk management systems</w:t>
      </w:r>
      <w:r w:rsidR="00F6704D" w:rsidRPr="005C4BD0">
        <w:rPr>
          <w:color w:val="000000" w:themeColor="text1"/>
          <w:sz w:val="22"/>
          <w:szCs w:val="22"/>
        </w:rPr>
        <w:t xml:space="preserve"> that are aligned with international DFI standards </w:t>
      </w:r>
      <w:r w:rsidRPr="005C4BD0">
        <w:rPr>
          <w:color w:val="000000" w:themeColor="text1"/>
          <w:sz w:val="22"/>
          <w:szCs w:val="22"/>
        </w:rPr>
        <w:t>that enable the bank to deploy financing in a prudent and disciplined manner. Establishing clear policies and operational procedures governing credit appraisal, loan approval, portfolio monitoring, and risk oversight will be essential to ensuring the bank operates in accordance with international development banking standards and Sharia-compliant financing principles.</w:t>
      </w:r>
    </w:p>
    <w:p w14:paraId="3802F679" w14:textId="0FB18984" w:rsidR="00B859EB" w:rsidRPr="005C4BD0" w:rsidRDefault="00B859EB" w:rsidP="004654C3">
      <w:pPr>
        <w:pStyle w:val="p1"/>
        <w:rPr>
          <w:sz w:val="22"/>
          <w:szCs w:val="22"/>
        </w:rPr>
      </w:pPr>
      <w:r w:rsidRPr="005C4BD0">
        <w:rPr>
          <w:color w:val="000000" w:themeColor="text1"/>
          <w:sz w:val="22"/>
          <w:szCs w:val="22"/>
        </w:rPr>
        <w:t xml:space="preserve">To support this effort, SDRB seeks to engage a Senior Advisor on </w:t>
      </w:r>
      <w:r w:rsidR="00776D6B" w:rsidRPr="005C4BD0">
        <w:rPr>
          <w:color w:val="000000" w:themeColor="text1"/>
          <w:sz w:val="22"/>
          <w:szCs w:val="22"/>
        </w:rPr>
        <w:t>Credit Policy</w:t>
      </w:r>
      <w:r w:rsidRPr="005C4BD0">
        <w:rPr>
          <w:color w:val="000000" w:themeColor="text1"/>
          <w:sz w:val="22"/>
          <w:szCs w:val="22"/>
        </w:rPr>
        <w:t xml:space="preserve"> and Risk Management to assist in developing and operationalizing the bank’s lending policies, credit procedures, and risk governance framework</w:t>
      </w:r>
      <w:r w:rsidR="004654C3" w:rsidRPr="005C4BD0">
        <w:rPr>
          <w:color w:val="000000" w:themeColor="text1"/>
          <w:sz w:val="22"/>
          <w:szCs w:val="22"/>
        </w:rPr>
        <w:t xml:space="preserve">, </w:t>
      </w:r>
      <w:r w:rsidR="004654C3" w:rsidRPr="005C4BD0">
        <w:rPr>
          <w:sz w:val="22"/>
          <w:szCs w:val="22"/>
        </w:rPr>
        <w:t>with active support from the SDRB team throughout the drafting process.</w:t>
      </w:r>
    </w:p>
    <w:p w14:paraId="64B664A9" w14:textId="5CCAB8C8" w:rsidR="00B859EB" w:rsidRPr="005C4BD0"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2"/>
          <w:szCs w:val="22"/>
          <w14:ligatures w14:val="none"/>
        </w:rPr>
      </w:pPr>
      <w:r w:rsidRPr="005C4BD0">
        <w:rPr>
          <w:rFonts w:ascii="Times New Roman" w:eastAsia="Times New Roman" w:hAnsi="Times New Roman" w:cs="Times New Roman"/>
          <w:b/>
          <w:bCs/>
          <w:color w:val="000000" w:themeColor="text1"/>
          <w:kern w:val="36"/>
          <w:sz w:val="22"/>
          <w:szCs w:val="22"/>
          <w14:ligatures w14:val="none"/>
        </w:rPr>
        <w:t xml:space="preserve">2. </w:t>
      </w:r>
      <w:r w:rsidR="00CE402E" w:rsidRPr="005C4BD0">
        <w:rPr>
          <w:rFonts w:ascii="Times New Roman" w:eastAsia="Times New Roman" w:hAnsi="Times New Roman" w:cs="Times New Roman"/>
          <w:b/>
          <w:bCs/>
          <w:color w:val="000000" w:themeColor="text1"/>
          <w:kern w:val="36"/>
          <w:sz w:val="22"/>
          <w:szCs w:val="22"/>
          <w14:ligatures w14:val="none"/>
        </w:rPr>
        <w:t>O</w:t>
      </w:r>
      <w:r w:rsidR="00C22214" w:rsidRPr="005C4BD0">
        <w:rPr>
          <w:rFonts w:ascii="Times New Roman" w:eastAsia="Times New Roman" w:hAnsi="Times New Roman" w:cs="Times New Roman"/>
          <w:b/>
          <w:bCs/>
          <w:color w:val="000000" w:themeColor="text1"/>
          <w:kern w:val="36"/>
          <w:sz w:val="22"/>
          <w:szCs w:val="22"/>
          <w14:ligatures w14:val="none"/>
        </w:rPr>
        <w:t>bjectives</w:t>
      </w:r>
    </w:p>
    <w:p w14:paraId="44408607" w14:textId="75CFDE1E" w:rsidR="00B859EB" w:rsidRPr="005C4BD0" w:rsidRDefault="00B859EB" w:rsidP="00B859EB">
      <w:p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The objective of this assignment is to provide strategic and technical advisory support to SDRB in establishing a comprehensive </w:t>
      </w:r>
      <w:r w:rsidR="00776D6B" w:rsidRPr="005C4BD0">
        <w:rPr>
          <w:rFonts w:ascii="Times New Roman" w:eastAsia="Times New Roman" w:hAnsi="Times New Roman" w:cs="Times New Roman"/>
          <w:color w:val="000000" w:themeColor="text1"/>
          <w:kern w:val="0"/>
          <w:sz w:val="22"/>
          <w:szCs w:val="22"/>
          <w14:ligatures w14:val="none"/>
        </w:rPr>
        <w:t xml:space="preserve">credit </w:t>
      </w:r>
      <w:r w:rsidRPr="005C4BD0">
        <w:rPr>
          <w:rFonts w:ascii="Times New Roman" w:eastAsia="Times New Roman" w:hAnsi="Times New Roman" w:cs="Times New Roman"/>
          <w:color w:val="000000" w:themeColor="text1"/>
          <w:kern w:val="0"/>
          <w:sz w:val="22"/>
          <w:szCs w:val="22"/>
          <w14:ligatures w14:val="none"/>
        </w:rPr>
        <w:t xml:space="preserve">and risk management framework, including the policies, procedures, and operational systems required for the bank to originate, evaluate, approve, and monitor </w:t>
      </w:r>
      <w:r w:rsidR="00776D6B" w:rsidRPr="005C4BD0">
        <w:rPr>
          <w:rFonts w:ascii="Times New Roman" w:eastAsia="Times New Roman" w:hAnsi="Times New Roman" w:cs="Times New Roman"/>
          <w:color w:val="000000" w:themeColor="text1"/>
          <w:kern w:val="0"/>
          <w:sz w:val="22"/>
          <w:szCs w:val="22"/>
          <w14:ligatures w14:val="none"/>
        </w:rPr>
        <w:t>credit</w:t>
      </w:r>
      <w:r w:rsidRPr="005C4BD0">
        <w:rPr>
          <w:rFonts w:ascii="Times New Roman" w:eastAsia="Times New Roman" w:hAnsi="Times New Roman" w:cs="Times New Roman"/>
          <w:color w:val="000000" w:themeColor="text1"/>
          <w:kern w:val="0"/>
          <w:sz w:val="22"/>
          <w:szCs w:val="22"/>
          <w14:ligatures w14:val="none"/>
        </w:rPr>
        <w:t xml:space="preserve"> operations.</w:t>
      </w:r>
    </w:p>
    <w:p w14:paraId="3541C9FD" w14:textId="24AE3A51" w:rsidR="00B859EB" w:rsidRPr="005C4BD0" w:rsidRDefault="00B859EB" w:rsidP="000C4C9B">
      <w:p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The assignment will focus on strengthening the bank’s credit processes, risk policies, lending procedures, and governance structures, ensuring that SDRB is equipped to operate as a modern development finance institution while maintaining strong risk discipline and compliance with Sharia principles.</w:t>
      </w:r>
    </w:p>
    <w:p w14:paraId="37EEAED3" w14:textId="6B759C4F" w:rsidR="00B859EB" w:rsidRPr="005C4BD0"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2"/>
          <w:szCs w:val="22"/>
          <w14:ligatures w14:val="none"/>
        </w:rPr>
      </w:pPr>
      <w:r w:rsidRPr="005C4BD0">
        <w:rPr>
          <w:rFonts w:ascii="Times New Roman" w:eastAsia="Times New Roman" w:hAnsi="Times New Roman" w:cs="Times New Roman"/>
          <w:b/>
          <w:bCs/>
          <w:color w:val="000000" w:themeColor="text1"/>
          <w:kern w:val="36"/>
          <w:sz w:val="22"/>
          <w:szCs w:val="22"/>
          <w14:ligatures w14:val="none"/>
        </w:rPr>
        <w:t xml:space="preserve">3. </w:t>
      </w:r>
      <w:r w:rsidR="00CE402E" w:rsidRPr="005C4BD0">
        <w:rPr>
          <w:rFonts w:ascii="Times New Roman" w:eastAsia="Times New Roman" w:hAnsi="Times New Roman" w:cs="Times New Roman"/>
          <w:b/>
          <w:bCs/>
          <w:color w:val="000000" w:themeColor="text1"/>
          <w:kern w:val="36"/>
          <w:sz w:val="22"/>
          <w:szCs w:val="22"/>
          <w14:ligatures w14:val="none"/>
        </w:rPr>
        <w:t>S</w:t>
      </w:r>
      <w:r w:rsidR="00C22214" w:rsidRPr="005C4BD0">
        <w:rPr>
          <w:rFonts w:ascii="Times New Roman" w:eastAsia="Times New Roman" w:hAnsi="Times New Roman" w:cs="Times New Roman"/>
          <w:b/>
          <w:bCs/>
          <w:color w:val="000000" w:themeColor="text1"/>
          <w:kern w:val="36"/>
          <w:sz w:val="22"/>
          <w:szCs w:val="22"/>
          <w14:ligatures w14:val="none"/>
        </w:rPr>
        <w:t>cope of Work</w:t>
      </w:r>
    </w:p>
    <w:p w14:paraId="5AB5AC2B" w14:textId="77777777" w:rsidR="00B859EB" w:rsidRPr="005C4BD0" w:rsidRDefault="00B859EB" w:rsidP="00B859EB">
      <w:p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The Advisor will work closely with SDRB senior management to support the development and operationalization of the bank’s lending and risk management framework.</w:t>
      </w:r>
    </w:p>
    <w:p w14:paraId="069ACD75" w14:textId="77777777" w:rsidR="00B859EB" w:rsidRPr="005C4BD0" w:rsidRDefault="00B859EB" w:rsidP="00B859EB">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2"/>
          <w:szCs w:val="22"/>
          <w14:ligatures w14:val="none"/>
        </w:rPr>
      </w:pPr>
      <w:r w:rsidRPr="005C4BD0">
        <w:rPr>
          <w:rFonts w:ascii="Times New Roman" w:eastAsia="Times New Roman" w:hAnsi="Times New Roman" w:cs="Times New Roman"/>
          <w:b/>
          <w:bCs/>
          <w:color w:val="000000" w:themeColor="text1"/>
          <w:kern w:val="0"/>
          <w:sz w:val="22"/>
          <w:szCs w:val="22"/>
          <w14:ligatures w14:val="none"/>
        </w:rPr>
        <w:t>A. Lending Policies and Credit Procedures</w:t>
      </w:r>
    </w:p>
    <w:p w14:paraId="7BC8C131" w14:textId="4C951516"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and refine SDRB’s </w:t>
      </w:r>
      <w:r w:rsidR="0028073C" w:rsidRPr="005C4BD0">
        <w:rPr>
          <w:rFonts w:ascii="Times New Roman" w:eastAsia="Times New Roman" w:hAnsi="Times New Roman" w:cs="Times New Roman"/>
          <w:b/>
          <w:bCs/>
          <w:color w:val="000000" w:themeColor="text1"/>
          <w:kern w:val="0"/>
          <w:sz w:val="22"/>
          <w:szCs w:val="22"/>
          <w14:ligatures w14:val="none"/>
        </w:rPr>
        <w:t>Credit (</w:t>
      </w:r>
      <w:r w:rsidRPr="005C4BD0">
        <w:rPr>
          <w:rFonts w:ascii="Times New Roman" w:eastAsia="Times New Roman" w:hAnsi="Times New Roman" w:cs="Times New Roman"/>
          <w:b/>
          <w:bCs/>
          <w:color w:val="000000" w:themeColor="text1"/>
          <w:kern w:val="0"/>
          <w:sz w:val="22"/>
          <w:szCs w:val="22"/>
          <w14:ligatures w14:val="none"/>
        </w:rPr>
        <w:t>lending</w:t>
      </w:r>
      <w:r w:rsidR="0028073C" w:rsidRPr="005C4BD0">
        <w:rPr>
          <w:rFonts w:ascii="Times New Roman" w:eastAsia="Times New Roman" w:hAnsi="Times New Roman" w:cs="Times New Roman"/>
          <w:b/>
          <w:bCs/>
          <w:color w:val="000000" w:themeColor="text1"/>
          <w:kern w:val="0"/>
          <w:sz w:val="22"/>
          <w:szCs w:val="22"/>
          <w14:ligatures w14:val="none"/>
        </w:rPr>
        <w:t>)</w:t>
      </w:r>
      <w:r w:rsidRPr="005C4BD0">
        <w:rPr>
          <w:rFonts w:ascii="Times New Roman" w:eastAsia="Times New Roman" w:hAnsi="Times New Roman" w:cs="Times New Roman"/>
          <w:b/>
          <w:bCs/>
          <w:color w:val="000000" w:themeColor="text1"/>
          <w:kern w:val="0"/>
          <w:sz w:val="22"/>
          <w:szCs w:val="22"/>
          <w14:ligatures w14:val="none"/>
        </w:rPr>
        <w:t xml:space="preserve"> policy</w:t>
      </w:r>
      <w:r w:rsidRPr="005C4BD0">
        <w:rPr>
          <w:rFonts w:ascii="Times New Roman" w:eastAsia="Times New Roman" w:hAnsi="Times New Roman" w:cs="Times New Roman"/>
          <w:color w:val="000000" w:themeColor="text1"/>
          <w:kern w:val="0"/>
          <w:sz w:val="22"/>
          <w:szCs w:val="22"/>
          <w14:ligatures w14:val="none"/>
        </w:rPr>
        <w:t>, including eligibility criteria, credit standards, and portfolio guidelines aligned with the bank’s mandate and risk appetite</w:t>
      </w:r>
      <w:r w:rsidR="00F6704D" w:rsidRPr="005C4BD0">
        <w:rPr>
          <w:rFonts w:ascii="Times New Roman" w:eastAsia="Times New Roman" w:hAnsi="Times New Roman" w:cs="Times New Roman"/>
          <w:color w:val="000000" w:themeColor="text1"/>
          <w:kern w:val="0"/>
          <w:sz w:val="22"/>
          <w:szCs w:val="22"/>
          <w14:ligatures w14:val="none"/>
        </w:rPr>
        <w:t>.</w:t>
      </w:r>
    </w:p>
    <w:p w14:paraId="5FA85DC6" w14:textId="40D7DA97"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Establish detailed </w:t>
      </w:r>
      <w:r w:rsidRPr="005C4BD0">
        <w:rPr>
          <w:rFonts w:ascii="Times New Roman" w:eastAsia="Times New Roman" w:hAnsi="Times New Roman" w:cs="Times New Roman"/>
          <w:b/>
          <w:bCs/>
          <w:color w:val="000000" w:themeColor="text1"/>
          <w:kern w:val="0"/>
          <w:sz w:val="22"/>
          <w:szCs w:val="22"/>
          <w14:ligatures w14:val="none"/>
        </w:rPr>
        <w:t>credit procedures covering the full lending cycle</w:t>
      </w:r>
      <w:r w:rsidRPr="005C4BD0">
        <w:rPr>
          <w:rFonts w:ascii="Times New Roman" w:eastAsia="Times New Roman" w:hAnsi="Times New Roman" w:cs="Times New Roman"/>
          <w:color w:val="000000" w:themeColor="text1"/>
          <w:kern w:val="0"/>
          <w:sz w:val="22"/>
          <w:szCs w:val="22"/>
          <w14:ligatures w14:val="none"/>
        </w:rPr>
        <w:t>, including origination, credit appraisal, approval processes, documentation, disbursement, and portfolio monitoring.</w:t>
      </w:r>
    </w:p>
    <w:p w14:paraId="59226133" w14:textId="20681DF2"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Design standardized </w:t>
      </w:r>
      <w:r w:rsidRPr="005C4BD0">
        <w:rPr>
          <w:rFonts w:ascii="Times New Roman" w:eastAsia="Times New Roman" w:hAnsi="Times New Roman" w:cs="Times New Roman"/>
          <w:b/>
          <w:bCs/>
          <w:color w:val="000000" w:themeColor="text1"/>
          <w:kern w:val="0"/>
          <w:sz w:val="22"/>
          <w:szCs w:val="22"/>
          <w14:ligatures w14:val="none"/>
        </w:rPr>
        <w:t>credit appraisal tools and methodologies</w:t>
      </w:r>
      <w:r w:rsidRPr="005C4BD0">
        <w:rPr>
          <w:rFonts w:ascii="Times New Roman" w:eastAsia="Times New Roman" w:hAnsi="Times New Roman" w:cs="Times New Roman"/>
          <w:color w:val="000000" w:themeColor="text1"/>
          <w:kern w:val="0"/>
          <w:sz w:val="22"/>
          <w:szCs w:val="22"/>
          <w14:ligatures w14:val="none"/>
        </w:rPr>
        <w:t>, including financial analysis templates, sector-specific evaluation criteria, and credit risk assessment approaches.</w:t>
      </w:r>
    </w:p>
    <w:p w14:paraId="16F7CD6D" w14:textId="1326B364"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Support the development of </w:t>
      </w:r>
      <w:r w:rsidRPr="005C4BD0">
        <w:rPr>
          <w:rFonts w:ascii="Times New Roman" w:eastAsia="Times New Roman" w:hAnsi="Times New Roman" w:cs="Times New Roman"/>
          <w:b/>
          <w:bCs/>
          <w:color w:val="000000" w:themeColor="text1"/>
          <w:kern w:val="0"/>
          <w:sz w:val="22"/>
          <w:szCs w:val="22"/>
          <w14:ligatures w14:val="none"/>
        </w:rPr>
        <w:t>credit governance arrangements</w:t>
      </w:r>
      <w:r w:rsidRPr="005C4BD0">
        <w:rPr>
          <w:rFonts w:ascii="Times New Roman" w:eastAsia="Times New Roman" w:hAnsi="Times New Roman" w:cs="Times New Roman"/>
          <w:color w:val="000000" w:themeColor="text1"/>
          <w:kern w:val="0"/>
          <w:sz w:val="22"/>
          <w:szCs w:val="22"/>
          <w14:ligatures w14:val="none"/>
        </w:rPr>
        <w:t>, including investment committee processes, approval authorities, and internal controls.</w:t>
      </w:r>
    </w:p>
    <w:p w14:paraId="15BD02BB" w14:textId="77777777" w:rsidR="00F6704D" w:rsidRPr="005C4BD0" w:rsidRDefault="00B859EB" w:rsidP="00F6704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operational procedures for </w:t>
      </w:r>
      <w:r w:rsidRPr="005C4BD0">
        <w:rPr>
          <w:rFonts w:ascii="Times New Roman" w:eastAsia="Times New Roman" w:hAnsi="Times New Roman" w:cs="Times New Roman"/>
          <w:b/>
          <w:bCs/>
          <w:color w:val="000000" w:themeColor="text1"/>
          <w:kern w:val="0"/>
          <w:sz w:val="22"/>
          <w:szCs w:val="22"/>
          <w14:ligatures w14:val="none"/>
        </w:rPr>
        <w:t>loan administration, restructuring, and recovery</w:t>
      </w:r>
      <w:r w:rsidRPr="005C4BD0">
        <w:rPr>
          <w:rFonts w:ascii="Times New Roman" w:eastAsia="Times New Roman" w:hAnsi="Times New Roman" w:cs="Times New Roman"/>
          <w:color w:val="000000" w:themeColor="text1"/>
          <w:kern w:val="0"/>
          <w:sz w:val="22"/>
          <w:szCs w:val="22"/>
          <w14:ligatures w14:val="none"/>
        </w:rPr>
        <w:t>,</w:t>
      </w:r>
      <w:r w:rsidR="00F6704D" w:rsidRPr="005C4BD0">
        <w:rPr>
          <w:rFonts w:ascii="Times New Roman" w:eastAsia="Times New Roman" w:hAnsi="Times New Roman" w:cs="Times New Roman"/>
          <w:color w:val="000000" w:themeColor="text1"/>
          <w:kern w:val="0"/>
          <w:sz w:val="22"/>
          <w:szCs w:val="22"/>
          <w14:ligatures w14:val="none"/>
        </w:rPr>
        <w:t xml:space="preserve"> </w:t>
      </w:r>
      <w:r w:rsidRPr="005C4BD0">
        <w:rPr>
          <w:rFonts w:ascii="Times New Roman" w:eastAsia="Times New Roman" w:hAnsi="Times New Roman" w:cs="Times New Roman"/>
          <w:color w:val="000000" w:themeColor="text1"/>
          <w:kern w:val="0"/>
          <w:sz w:val="22"/>
          <w:szCs w:val="22"/>
          <w14:ligatures w14:val="none"/>
        </w:rPr>
        <w:t>ensuring the bank maintains effective oversight of its portfolio.</w:t>
      </w:r>
    </w:p>
    <w:p w14:paraId="685FF4D0" w14:textId="0F1E889E" w:rsidR="00F6704D" w:rsidRPr="005C4BD0" w:rsidRDefault="00F6704D" w:rsidP="00F6704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w:t>
      </w:r>
      <w:r w:rsidRPr="005C4BD0">
        <w:rPr>
          <w:rFonts w:ascii="Times New Roman" w:eastAsia="Times New Roman" w:hAnsi="Times New Roman" w:cs="Times New Roman"/>
          <w:b/>
          <w:bCs/>
          <w:color w:val="000000" w:themeColor="text1"/>
          <w:kern w:val="0"/>
          <w:sz w:val="22"/>
          <w:szCs w:val="22"/>
          <w14:ligatures w14:val="none"/>
        </w:rPr>
        <w:t>provisioning frameworks and methodologies</w:t>
      </w:r>
      <w:r w:rsidRPr="005C4BD0">
        <w:rPr>
          <w:rFonts w:ascii="Times New Roman" w:eastAsia="Times New Roman" w:hAnsi="Times New Roman" w:cs="Times New Roman"/>
          <w:color w:val="000000" w:themeColor="text1"/>
          <w:kern w:val="0"/>
          <w:sz w:val="22"/>
          <w:szCs w:val="22"/>
          <w14:ligatures w14:val="none"/>
        </w:rPr>
        <w:t>, including asset classification, impairment assessment, and provisioning requirements in accordance with applicable accounting and regulatory standards.</w:t>
      </w:r>
    </w:p>
    <w:p w14:paraId="5BB6EA8B" w14:textId="1CD72E09" w:rsidR="00F6704D" w:rsidRPr="005C4BD0" w:rsidRDefault="00F6704D" w:rsidP="00F6704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Establish clear </w:t>
      </w:r>
      <w:r w:rsidRPr="005C4BD0">
        <w:rPr>
          <w:rFonts w:ascii="Times New Roman" w:eastAsia="Times New Roman" w:hAnsi="Times New Roman" w:cs="Times New Roman"/>
          <w:b/>
          <w:bCs/>
          <w:color w:val="000000" w:themeColor="text1"/>
          <w:kern w:val="0"/>
          <w:sz w:val="22"/>
          <w:szCs w:val="22"/>
          <w14:ligatures w14:val="none"/>
        </w:rPr>
        <w:t>write-off policies and procedures</w:t>
      </w:r>
      <w:r w:rsidRPr="005C4BD0">
        <w:rPr>
          <w:rFonts w:ascii="Times New Roman" w:eastAsia="Times New Roman" w:hAnsi="Times New Roman" w:cs="Times New Roman"/>
          <w:color w:val="000000" w:themeColor="text1"/>
          <w:kern w:val="0"/>
          <w:sz w:val="22"/>
          <w:szCs w:val="22"/>
          <w14:ligatures w14:val="none"/>
        </w:rPr>
        <w:t>, including defined criteria, approval processes, and post write-off recovery and tracking mechanisms.</w:t>
      </w:r>
    </w:p>
    <w:p w14:paraId="1A27BDCE" w14:textId="1BC92787" w:rsidR="00F6704D" w:rsidRPr="005C4BD0" w:rsidRDefault="00F6704D" w:rsidP="00F6704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structured </w:t>
      </w:r>
      <w:r w:rsidRPr="005C4BD0">
        <w:rPr>
          <w:rFonts w:ascii="Times New Roman" w:eastAsia="Times New Roman" w:hAnsi="Times New Roman" w:cs="Times New Roman"/>
          <w:b/>
          <w:bCs/>
          <w:color w:val="000000" w:themeColor="text1"/>
          <w:kern w:val="0"/>
          <w:sz w:val="22"/>
          <w:szCs w:val="22"/>
          <w14:ligatures w14:val="none"/>
        </w:rPr>
        <w:t>credit and portfolio reporting frameworks</w:t>
      </w:r>
      <w:r w:rsidRPr="005C4BD0">
        <w:rPr>
          <w:rFonts w:ascii="Times New Roman" w:eastAsia="Times New Roman" w:hAnsi="Times New Roman" w:cs="Times New Roman"/>
          <w:color w:val="000000" w:themeColor="text1"/>
          <w:kern w:val="0"/>
          <w:sz w:val="22"/>
          <w:szCs w:val="22"/>
          <w14:ligatures w14:val="none"/>
        </w:rPr>
        <w:t>, including standardized reporting templates, key performance indicators (such as PAR and NPL ratios), and reporting lines to management and Board-level committees.</w:t>
      </w:r>
    </w:p>
    <w:p w14:paraId="11A08D4E" w14:textId="19AA0072" w:rsidR="00F6704D" w:rsidRPr="005C4BD0" w:rsidRDefault="00F6704D" w:rsidP="00F6704D">
      <w:pPr>
        <w:pStyle w:val="p1"/>
        <w:numPr>
          <w:ilvl w:val="0"/>
          <w:numId w:val="5"/>
        </w:numPr>
        <w:rPr>
          <w:color w:val="000000" w:themeColor="text1"/>
          <w:sz w:val="22"/>
          <w:szCs w:val="22"/>
        </w:rPr>
      </w:pPr>
      <w:r w:rsidRPr="005C4BD0">
        <w:rPr>
          <w:rStyle w:val="s1"/>
          <w:rFonts w:eastAsiaTheme="majorEastAsia"/>
          <w:color w:val="000000" w:themeColor="text1"/>
          <w:sz w:val="22"/>
          <w:szCs w:val="22"/>
        </w:rPr>
        <w:lastRenderedPageBreak/>
        <w:t>Develop a</w:t>
      </w:r>
      <w:r w:rsidRPr="005C4BD0">
        <w:rPr>
          <w:rStyle w:val="s1"/>
          <w:rFonts w:eastAsiaTheme="majorEastAsia"/>
          <w:b/>
          <w:bCs/>
          <w:color w:val="000000" w:themeColor="text1"/>
          <w:sz w:val="22"/>
          <w:szCs w:val="22"/>
        </w:rPr>
        <w:t xml:space="preserve"> credit pricing framework and model</w:t>
      </w:r>
      <w:r w:rsidRPr="005C4BD0">
        <w:rPr>
          <w:color w:val="000000" w:themeColor="text1"/>
          <w:sz w:val="22"/>
          <w:szCs w:val="22"/>
        </w:rPr>
        <w:t xml:space="preserve">, including cost of funds, risk-based pricing, operational cost allocation, margin requirements, and </w:t>
      </w:r>
      <w:proofErr w:type="spellStart"/>
      <w:r w:rsidRPr="005C4BD0">
        <w:rPr>
          <w:color w:val="000000" w:themeColor="text1"/>
          <w:sz w:val="22"/>
          <w:szCs w:val="22"/>
        </w:rPr>
        <w:t>tenour</w:t>
      </w:r>
      <w:proofErr w:type="spellEnd"/>
      <w:r w:rsidRPr="005C4BD0">
        <w:rPr>
          <w:color w:val="000000" w:themeColor="text1"/>
          <w:sz w:val="22"/>
          <w:szCs w:val="22"/>
        </w:rPr>
        <w:t>, ensuring alignment with SDRB’s financial sustainability objectives, market conditions, and Sharia-compliant financing structures.</w:t>
      </w:r>
    </w:p>
    <w:p w14:paraId="44B6D54E" w14:textId="77777777" w:rsidR="00B859EB" w:rsidRPr="005C4BD0" w:rsidRDefault="00B859EB" w:rsidP="00B859EB">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2"/>
          <w:szCs w:val="22"/>
          <w14:ligatures w14:val="none"/>
        </w:rPr>
      </w:pPr>
      <w:r w:rsidRPr="005C4BD0">
        <w:rPr>
          <w:rFonts w:ascii="Times New Roman" w:eastAsia="Times New Roman" w:hAnsi="Times New Roman" w:cs="Times New Roman"/>
          <w:b/>
          <w:bCs/>
          <w:color w:val="000000" w:themeColor="text1"/>
          <w:kern w:val="0"/>
          <w:sz w:val="22"/>
          <w:szCs w:val="22"/>
          <w14:ligatures w14:val="none"/>
        </w:rPr>
        <w:t>B. Risk Management Framework</w:t>
      </w:r>
    </w:p>
    <w:p w14:paraId="3521D85E" w14:textId="112289B0"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and refine SDRB’s </w:t>
      </w:r>
      <w:r w:rsidRPr="005C4BD0">
        <w:rPr>
          <w:rFonts w:ascii="Times New Roman" w:eastAsia="Times New Roman" w:hAnsi="Times New Roman" w:cs="Times New Roman"/>
          <w:b/>
          <w:bCs/>
          <w:color w:val="000000" w:themeColor="text1"/>
          <w:kern w:val="0"/>
          <w:sz w:val="22"/>
          <w:szCs w:val="22"/>
          <w14:ligatures w14:val="none"/>
        </w:rPr>
        <w:t>risk management policy framework</w:t>
      </w:r>
      <w:r w:rsidR="00F6704D" w:rsidRPr="005C4BD0">
        <w:rPr>
          <w:rFonts w:ascii="Times New Roman" w:eastAsia="Times New Roman" w:hAnsi="Times New Roman" w:cs="Times New Roman"/>
          <w:b/>
          <w:bCs/>
          <w:color w:val="000000" w:themeColor="text1"/>
          <w:kern w:val="0"/>
          <w:sz w:val="22"/>
          <w:szCs w:val="22"/>
          <w14:ligatures w14:val="none"/>
        </w:rPr>
        <w:t xml:space="preserve"> and Risk appetite Statement</w:t>
      </w:r>
      <w:r w:rsidRPr="005C4BD0">
        <w:rPr>
          <w:rFonts w:ascii="Times New Roman" w:eastAsia="Times New Roman" w:hAnsi="Times New Roman" w:cs="Times New Roman"/>
          <w:color w:val="000000" w:themeColor="text1"/>
          <w:kern w:val="0"/>
          <w:sz w:val="22"/>
          <w:szCs w:val="22"/>
          <w14:ligatures w14:val="none"/>
        </w:rPr>
        <w:t>, including policies for credit risk, operational risk, and portfolio risk oversight.</w:t>
      </w:r>
    </w:p>
    <w:p w14:paraId="4ED627BB" w14:textId="16F1DD53" w:rsidR="002D12C5" w:rsidRPr="005C4BD0" w:rsidRDefault="002D12C5" w:rsidP="002D12C5">
      <w:pPr>
        <w:pStyle w:val="ListParagraph"/>
        <w:numPr>
          <w:ilvl w:val="0"/>
          <w:numId w:val="5"/>
        </w:numPr>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w:t>
      </w:r>
      <w:r w:rsidRPr="005C4BD0">
        <w:rPr>
          <w:rFonts w:ascii="Times New Roman" w:eastAsia="Times New Roman" w:hAnsi="Times New Roman" w:cs="Times New Roman"/>
          <w:b/>
          <w:bCs/>
          <w:color w:val="000000" w:themeColor="text1"/>
          <w:kern w:val="0"/>
          <w:sz w:val="22"/>
          <w:szCs w:val="22"/>
          <w14:ligatures w14:val="none"/>
        </w:rPr>
        <w:t>Risk Management Procedures Manual</w:t>
      </w:r>
      <w:r w:rsidRPr="005C4BD0">
        <w:rPr>
          <w:rFonts w:ascii="Times New Roman" w:eastAsia="Times New Roman" w:hAnsi="Times New Roman" w:cs="Times New Roman"/>
          <w:color w:val="000000" w:themeColor="text1"/>
          <w:kern w:val="0"/>
          <w:sz w:val="22"/>
          <w:szCs w:val="22"/>
          <w14:ligatures w14:val="none"/>
        </w:rPr>
        <w:t xml:space="preserve"> and establish standardized </w:t>
      </w:r>
      <w:r w:rsidRPr="005C4BD0">
        <w:rPr>
          <w:rFonts w:ascii="Times New Roman" w:eastAsia="Times New Roman" w:hAnsi="Times New Roman" w:cs="Times New Roman"/>
          <w:b/>
          <w:bCs/>
          <w:color w:val="000000" w:themeColor="text1"/>
          <w:kern w:val="0"/>
          <w:sz w:val="22"/>
          <w:szCs w:val="22"/>
          <w14:ligatures w14:val="none"/>
        </w:rPr>
        <w:t>risk registers</w:t>
      </w:r>
      <w:r w:rsidRPr="005C4BD0">
        <w:rPr>
          <w:rFonts w:ascii="Times New Roman" w:eastAsia="Times New Roman" w:hAnsi="Times New Roman" w:cs="Times New Roman"/>
          <w:color w:val="000000" w:themeColor="text1"/>
          <w:kern w:val="0"/>
          <w:sz w:val="22"/>
          <w:szCs w:val="22"/>
          <w14:ligatures w14:val="none"/>
        </w:rPr>
        <w:t xml:space="preserve"> at departmental and portfolio levels.</w:t>
      </w:r>
    </w:p>
    <w:p w14:paraId="2CBC5AAB" w14:textId="1E7C874F" w:rsidR="002D12C5" w:rsidRPr="005C4BD0" w:rsidRDefault="002D12C5" w:rsidP="002D12C5">
      <w:pPr>
        <w:pStyle w:val="ListParagraph"/>
        <w:numPr>
          <w:ilvl w:val="0"/>
          <w:numId w:val="5"/>
        </w:numPr>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w:t>
      </w:r>
      <w:r w:rsidRPr="005C4BD0">
        <w:rPr>
          <w:rFonts w:ascii="Times New Roman" w:eastAsia="Times New Roman" w:hAnsi="Times New Roman" w:cs="Times New Roman"/>
          <w:b/>
          <w:bCs/>
          <w:color w:val="000000" w:themeColor="text1"/>
          <w:kern w:val="0"/>
          <w:sz w:val="22"/>
          <w:szCs w:val="22"/>
          <w14:ligatures w14:val="none"/>
        </w:rPr>
        <w:t>Credit Risk Assessment and Appraisal Procedures</w:t>
      </w:r>
      <w:r w:rsidRPr="005C4BD0">
        <w:rPr>
          <w:b/>
          <w:bCs/>
          <w:color w:val="000000" w:themeColor="text1"/>
          <w:sz w:val="22"/>
          <w:szCs w:val="22"/>
        </w:rPr>
        <w:t xml:space="preserve"> </w:t>
      </w:r>
      <w:r w:rsidRPr="005C4BD0">
        <w:rPr>
          <w:rFonts w:ascii="Times New Roman" w:eastAsia="Times New Roman" w:hAnsi="Times New Roman" w:cs="Times New Roman"/>
          <w:color w:val="000000" w:themeColor="text1"/>
          <w:kern w:val="0"/>
          <w:sz w:val="22"/>
          <w:szCs w:val="22"/>
          <w14:ligatures w14:val="none"/>
        </w:rPr>
        <w:t>tailored to SDRB’s lending operations</w:t>
      </w:r>
      <w:r w:rsidR="00480BBC" w:rsidRPr="005C4BD0">
        <w:rPr>
          <w:rFonts w:ascii="Times New Roman" w:eastAsia="Times New Roman" w:hAnsi="Times New Roman" w:cs="Times New Roman"/>
          <w:color w:val="000000" w:themeColor="text1"/>
          <w:kern w:val="0"/>
          <w:sz w:val="22"/>
          <w:szCs w:val="22"/>
          <w14:ligatures w14:val="none"/>
        </w:rPr>
        <w:t>, including</w:t>
      </w:r>
      <w:r w:rsidR="00480BBC" w:rsidRPr="005C4BD0">
        <w:rPr>
          <w:color w:val="000000" w:themeColor="text1"/>
          <w:sz w:val="22"/>
          <w:szCs w:val="22"/>
        </w:rPr>
        <w:t xml:space="preserve"> </w:t>
      </w:r>
      <w:r w:rsidRPr="005C4BD0">
        <w:rPr>
          <w:rFonts w:ascii="Times New Roman" w:eastAsia="Times New Roman" w:hAnsi="Times New Roman" w:cs="Times New Roman"/>
          <w:color w:val="000000" w:themeColor="text1"/>
          <w:kern w:val="0"/>
          <w:sz w:val="22"/>
          <w:szCs w:val="22"/>
          <w14:ligatures w14:val="none"/>
        </w:rPr>
        <w:t>credit analysis, risk rating, approval processes, exposure limits, collateral, pricing, and post-disbursement monitoring to protect portfolio quality</w:t>
      </w:r>
    </w:p>
    <w:p w14:paraId="19B3675C" w14:textId="1F2D6D07" w:rsidR="00997B00" w:rsidRPr="005C4BD0" w:rsidRDefault="002D12C5" w:rsidP="002D12C5">
      <w:pPr>
        <w:pStyle w:val="ListParagraph"/>
        <w:numPr>
          <w:ilvl w:val="0"/>
          <w:numId w:val="5"/>
        </w:numPr>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Develop and refine SDRB’s </w:t>
      </w:r>
      <w:r w:rsidRPr="005C4BD0">
        <w:rPr>
          <w:rFonts w:ascii="Times New Roman" w:eastAsia="Times New Roman" w:hAnsi="Times New Roman" w:cs="Times New Roman"/>
          <w:b/>
          <w:bCs/>
          <w:color w:val="000000" w:themeColor="text1"/>
          <w:kern w:val="0"/>
          <w:sz w:val="22"/>
          <w:szCs w:val="22"/>
          <w14:ligatures w14:val="none"/>
        </w:rPr>
        <w:t>AML/CFT Policy and Procedures,</w:t>
      </w:r>
      <w:r w:rsidRPr="005C4BD0">
        <w:rPr>
          <w:rFonts w:ascii="Times New Roman" w:eastAsia="Times New Roman" w:hAnsi="Times New Roman" w:cs="Times New Roman"/>
          <w:color w:val="000000" w:themeColor="text1"/>
          <w:kern w:val="0"/>
          <w:sz w:val="22"/>
          <w:szCs w:val="22"/>
          <w14:ligatures w14:val="none"/>
        </w:rPr>
        <w:t xml:space="preserve"> including CDD, EDD,</w:t>
      </w:r>
      <w:r w:rsidRPr="005C4BD0">
        <w:rPr>
          <w:color w:val="000000" w:themeColor="text1"/>
          <w:sz w:val="22"/>
          <w:szCs w:val="22"/>
        </w:rPr>
        <w:t xml:space="preserve"> </w:t>
      </w:r>
      <w:r w:rsidRPr="005C4BD0">
        <w:rPr>
          <w:rFonts w:ascii="Times New Roman" w:eastAsia="Times New Roman" w:hAnsi="Times New Roman" w:cs="Times New Roman"/>
          <w:color w:val="000000" w:themeColor="text1"/>
          <w:kern w:val="0"/>
          <w:sz w:val="22"/>
          <w:szCs w:val="22"/>
          <w14:ligatures w14:val="none"/>
        </w:rPr>
        <w:t>transaction monitoring, and STR reporting mechanisms.</w:t>
      </w:r>
    </w:p>
    <w:p w14:paraId="6E766F7A" w14:textId="1AC9027F"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Establish systems for </w:t>
      </w:r>
      <w:r w:rsidRPr="005C4BD0">
        <w:rPr>
          <w:rFonts w:ascii="Times New Roman" w:eastAsia="Times New Roman" w:hAnsi="Times New Roman" w:cs="Times New Roman"/>
          <w:b/>
          <w:bCs/>
          <w:color w:val="000000" w:themeColor="text1"/>
          <w:kern w:val="0"/>
          <w:sz w:val="22"/>
          <w:szCs w:val="22"/>
          <w14:ligatures w14:val="none"/>
        </w:rPr>
        <w:t>risk identification, assessment, mitigation, and monitoring</w:t>
      </w:r>
      <w:r w:rsidRPr="005C4BD0">
        <w:rPr>
          <w:rFonts w:ascii="Times New Roman" w:eastAsia="Times New Roman" w:hAnsi="Times New Roman" w:cs="Times New Roman"/>
          <w:color w:val="000000" w:themeColor="text1"/>
          <w:kern w:val="0"/>
          <w:sz w:val="22"/>
          <w:szCs w:val="22"/>
          <w14:ligatures w14:val="none"/>
        </w:rPr>
        <w:t xml:space="preserve"> across the bank’s financing operations.</w:t>
      </w:r>
    </w:p>
    <w:p w14:paraId="509F99A6" w14:textId="0AF2418D"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Support the development of </w:t>
      </w:r>
      <w:r w:rsidRPr="005C4BD0">
        <w:rPr>
          <w:rFonts w:ascii="Times New Roman" w:eastAsia="Times New Roman" w:hAnsi="Times New Roman" w:cs="Times New Roman"/>
          <w:b/>
          <w:bCs/>
          <w:color w:val="000000" w:themeColor="text1"/>
          <w:kern w:val="0"/>
          <w:sz w:val="22"/>
          <w:szCs w:val="22"/>
          <w14:ligatures w14:val="none"/>
        </w:rPr>
        <w:t>portfolio monitoring frameworks and early warning systems</w:t>
      </w:r>
      <w:r w:rsidRPr="005C4BD0">
        <w:rPr>
          <w:rFonts w:ascii="Times New Roman" w:eastAsia="Times New Roman" w:hAnsi="Times New Roman" w:cs="Times New Roman"/>
          <w:color w:val="000000" w:themeColor="text1"/>
          <w:kern w:val="0"/>
          <w:sz w:val="22"/>
          <w:szCs w:val="22"/>
          <w14:ligatures w14:val="none"/>
        </w:rPr>
        <w:t xml:space="preserve"> to identify emerging credit risks.</w:t>
      </w:r>
    </w:p>
    <w:p w14:paraId="15D65896" w14:textId="3778B01B"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Design procedures for </w:t>
      </w:r>
      <w:r w:rsidRPr="005C4BD0">
        <w:rPr>
          <w:rFonts w:ascii="Times New Roman" w:eastAsia="Times New Roman" w:hAnsi="Times New Roman" w:cs="Times New Roman"/>
          <w:b/>
          <w:bCs/>
          <w:color w:val="000000" w:themeColor="text1"/>
          <w:kern w:val="0"/>
          <w:sz w:val="22"/>
          <w:szCs w:val="22"/>
          <w14:ligatures w14:val="none"/>
        </w:rPr>
        <w:t>non-performing loan management, portfolio reporting, and risk escalation</w:t>
      </w:r>
      <w:r w:rsidRPr="005C4BD0">
        <w:rPr>
          <w:rFonts w:ascii="Times New Roman" w:eastAsia="Times New Roman" w:hAnsi="Times New Roman" w:cs="Times New Roman"/>
          <w:color w:val="000000" w:themeColor="text1"/>
          <w:kern w:val="0"/>
          <w:sz w:val="22"/>
          <w:szCs w:val="22"/>
          <w14:ligatures w14:val="none"/>
        </w:rPr>
        <w:t>.</w:t>
      </w:r>
    </w:p>
    <w:p w14:paraId="3FCA2026" w14:textId="40FF24F9"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Support the establishment of </w:t>
      </w:r>
      <w:r w:rsidRPr="005C4BD0">
        <w:rPr>
          <w:rFonts w:ascii="Times New Roman" w:eastAsia="Times New Roman" w:hAnsi="Times New Roman" w:cs="Times New Roman"/>
          <w:b/>
          <w:bCs/>
          <w:color w:val="000000" w:themeColor="text1"/>
          <w:kern w:val="0"/>
          <w:sz w:val="22"/>
          <w:szCs w:val="22"/>
          <w14:ligatures w14:val="none"/>
        </w:rPr>
        <w:t>risk governance structures</w:t>
      </w:r>
      <w:r w:rsidRPr="005C4BD0">
        <w:rPr>
          <w:rFonts w:ascii="Times New Roman" w:eastAsia="Times New Roman" w:hAnsi="Times New Roman" w:cs="Times New Roman"/>
          <w:color w:val="000000" w:themeColor="text1"/>
          <w:kern w:val="0"/>
          <w:sz w:val="22"/>
          <w:szCs w:val="22"/>
          <w14:ligatures w14:val="none"/>
        </w:rPr>
        <w:t>, including risk committees, reporting frameworks, and internal oversight mechanisms.</w:t>
      </w:r>
    </w:p>
    <w:p w14:paraId="55CA97C8" w14:textId="3339ABEC" w:rsidR="00F6704D" w:rsidRPr="005C4BD0" w:rsidRDefault="0077656E" w:rsidP="00CE402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Provide guidance on integrating </w:t>
      </w:r>
      <w:r w:rsidRPr="005C4BD0">
        <w:rPr>
          <w:rFonts w:ascii="Times New Roman" w:eastAsia="Times New Roman" w:hAnsi="Times New Roman" w:cs="Times New Roman"/>
          <w:b/>
          <w:bCs/>
          <w:color w:val="000000" w:themeColor="text1"/>
          <w:kern w:val="0"/>
          <w:sz w:val="22"/>
          <w:szCs w:val="22"/>
          <w14:ligatures w14:val="none"/>
        </w:rPr>
        <w:t>risk-sharing mechanisms, guarantees, and blended finance instruments</w:t>
      </w:r>
      <w:r w:rsidRPr="005C4BD0">
        <w:rPr>
          <w:rFonts w:ascii="Times New Roman" w:eastAsia="Times New Roman" w:hAnsi="Times New Roman" w:cs="Times New Roman"/>
          <w:color w:val="000000" w:themeColor="text1"/>
          <w:kern w:val="0"/>
          <w:sz w:val="22"/>
          <w:szCs w:val="22"/>
          <w14:ligatures w14:val="none"/>
        </w:rPr>
        <w:t xml:space="preserve"> into the bank’s lending operations.</w:t>
      </w:r>
    </w:p>
    <w:p w14:paraId="484028DF" w14:textId="77777777" w:rsidR="00B859EB" w:rsidRPr="005C4BD0" w:rsidRDefault="00B859EB" w:rsidP="00B859EB">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2"/>
          <w:szCs w:val="22"/>
          <w14:ligatures w14:val="none"/>
        </w:rPr>
      </w:pPr>
      <w:r w:rsidRPr="005C4BD0">
        <w:rPr>
          <w:rFonts w:ascii="Times New Roman" w:eastAsia="Times New Roman" w:hAnsi="Times New Roman" w:cs="Times New Roman"/>
          <w:b/>
          <w:bCs/>
          <w:color w:val="000000" w:themeColor="text1"/>
          <w:kern w:val="0"/>
          <w:sz w:val="22"/>
          <w:szCs w:val="22"/>
          <w14:ligatures w14:val="none"/>
        </w:rPr>
        <w:t>C. Sharia-Compliant Lending Framework</w:t>
      </w:r>
    </w:p>
    <w:p w14:paraId="606CCF66" w14:textId="1BF15A12"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Ensure that SDRB’s lending policies and procedures are aligned with </w:t>
      </w:r>
      <w:r w:rsidRPr="005C4BD0">
        <w:rPr>
          <w:rFonts w:ascii="Times New Roman" w:eastAsia="Times New Roman" w:hAnsi="Times New Roman" w:cs="Times New Roman"/>
          <w:b/>
          <w:bCs/>
          <w:color w:val="000000" w:themeColor="text1"/>
          <w:kern w:val="0"/>
          <w:sz w:val="22"/>
          <w:szCs w:val="22"/>
          <w14:ligatures w14:val="none"/>
        </w:rPr>
        <w:t>Sharia-compliant financing principles</w:t>
      </w:r>
      <w:r w:rsidRPr="005C4BD0">
        <w:rPr>
          <w:rFonts w:ascii="Times New Roman" w:eastAsia="Times New Roman" w:hAnsi="Times New Roman" w:cs="Times New Roman"/>
          <w:color w:val="000000" w:themeColor="text1"/>
          <w:kern w:val="0"/>
          <w:sz w:val="22"/>
          <w:szCs w:val="22"/>
          <w14:ligatures w14:val="none"/>
        </w:rPr>
        <w:t>.</w:t>
      </w:r>
    </w:p>
    <w:p w14:paraId="39700EA7" w14:textId="674761C8" w:rsidR="00B859EB" w:rsidRPr="005C4BD0" w:rsidRDefault="00B859EB" w:rsidP="00F6704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Provide guidance on integrating </w:t>
      </w:r>
      <w:r w:rsidRPr="005C4BD0">
        <w:rPr>
          <w:rFonts w:ascii="Times New Roman" w:eastAsia="Times New Roman" w:hAnsi="Times New Roman" w:cs="Times New Roman"/>
          <w:b/>
          <w:bCs/>
          <w:color w:val="000000" w:themeColor="text1"/>
          <w:kern w:val="0"/>
          <w:sz w:val="22"/>
          <w:szCs w:val="22"/>
          <w14:ligatures w14:val="none"/>
        </w:rPr>
        <w:t>Sharia compliance into credit processes and risk management frameworks</w:t>
      </w:r>
      <w:r w:rsidRPr="005C4BD0">
        <w:rPr>
          <w:rFonts w:ascii="Times New Roman" w:eastAsia="Times New Roman" w:hAnsi="Times New Roman" w:cs="Times New Roman"/>
          <w:color w:val="000000" w:themeColor="text1"/>
          <w:kern w:val="0"/>
          <w:sz w:val="22"/>
          <w:szCs w:val="22"/>
          <w14:ligatures w14:val="none"/>
        </w:rPr>
        <w:t>.</w:t>
      </w:r>
    </w:p>
    <w:p w14:paraId="1AEEF34A" w14:textId="77777777" w:rsidR="00B859EB" w:rsidRPr="005C4BD0" w:rsidRDefault="00B859EB" w:rsidP="00B859EB">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2"/>
          <w:szCs w:val="22"/>
          <w14:ligatures w14:val="none"/>
        </w:rPr>
      </w:pPr>
      <w:r w:rsidRPr="005C4BD0">
        <w:rPr>
          <w:rFonts w:ascii="Times New Roman" w:eastAsia="Times New Roman" w:hAnsi="Times New Roman" w:cs="Times New Roman"/>
          <w:b/>
          <w:bCs/>
          <w:color w:val="000000" w:themeColor="text1"/>
          <w:kern w:val="0"/>
          <w:sz w:val="22"/>
          <w:szCs w:val="22"/>
          <w14:ligatures w14:val="none"/>
        </w:rPr>
        <w:t>E. Institutional Capacity Building</w:t>
      </w:r>
    </w:p>
    <w:p w14:paraId="58AA81BB" w14:textId="6E0D2182" w:rsidR="0077656E" w:rsidRPr="005C4BD0" w:rsidRDefault="0077656E" w:rsidP="00B859EB">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Assist SDRB management in aligning financing instruments with the bank’s broader investment strategies and development priorities.</w:t>
      </w:r>
    </w:p>
    <w:p w14:paraId="66D5AFF6" w14:textId="04BF5930" w:rsidR="00B859EB" w:rsidRPr="005C4BD0" w:rsidRDefault="00B859EB" w:rsidP="00F6704D">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 xml:space="preserve">Provide technical guidance to SDRB staff on </w:t>
      </w:r>
      <w:r w:rsidRPr="005C4BD0">
        <w:rPr>
          <w:rFonts w:ascii="Times New Roman" w:eastAsia="Times New Roman" w:hAnsi="Times New Roman" w:cs="Times New Roman"/>
          <w:b/>
          <w:bCs/>
          <w:color w:val="000000" w:themeColor="text1"/>
          <w:kern w:val="0"/>
          <w:sz w:val="22"/>
          <w:szCs w:val="22"/>
          <w14:ligatures w14:val="none"/>
        </w:rPr>
        <w:t>credit assessment, lending procedures, and risk management practices</w:t>
      </w:r>
      <w:r w:rsidRPr="005C4BD0">
        <w:rPr>
          <w:rFonts w:ascii="Times New Roman" w:eastAsia="Times New Roman" w:hAnsi="Times New Roman" w:cs="Times New Roman"/>
          <w:color w:val="000000" w:themeColor="text1"/>
          <w:kern w:val="0"/>
          <w:sz w:val="22"/>
          <w:szCs w:val="22"/>
          <w14:ligatures w14:val="none"/>
        </w:rPr>
        <w:t>.</w:t>
      </w:r>
    </w:p>
    <w:p w14:paraId="574A4782" w14:textId="77777777" w:rsidR="00CE402E" w:rsidRPr="005C4BD0" w:rsidRDefault="00CE402E" w:rsidP="00CE402E">
      <w:pPr>
        <w:pStyle w:val="ListParagraph"/>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p>
    <w:p w14:paraId="2ECC6661" w14:textId="5D55E60B" w:rsidR="00B859EB" w:rsidRPr="005C4BD0"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2"/>
          <w:szCs w:val="22"/>
          <w14:ligatures w14:val="none"/>
        </w:rPr>
      </w:pPr>
      <w:r w:rsidRPr="005C4BD0">
        <w:rPr>
          <w:rFonts w:ascii="Times New Roman" w:eastAsia="Times New Roman" w:hAnsi="Times New Roman" w:cs="Times New Roman"/>
          <w:b/>
          <w:bCs/>
          <w:color w:val="000000" w:themeColor="text1"/>
          <w:kern w:val="36"/>
          <w:sz w:val="22"/>
          <w:szCs w:val="22"/>
          <w14:ligatures w14:val="none"/>
        </w:rPr>
        <w:t xml:space="preserve">4. </w:t>
      </w:r>
      <w:r w:rsidR="00C22214" w:rsidRPr="005C4BD0">
        <w:rPr>
          <w:rFonts w:ascii="Times New Roman" w:eastAsia="Times New Roman" w:hAnsi="Times New Roman" w:cs="Times New Roman"/>
          <w:b/>
          <w:bCs/>
          <w:color w:val="000000" w:themeColor="text1"/>
          <w:kern w:val="36"/>
          <w:sz w:val="22"/>
          <w:szCs w:val="22"/>
          <w14:ligatures w14:val="none"/>
        </w:rPr>
        <w:t xml:space="preserve">Key Deliverables &amp; Payment Schedule </w:t>
      </w:r>
      <w:r w:rsidR="00044731" w:rsidRPr="005C4BD0">
        <w:rPr>
          <w:rFonts w:ascii="Times New Roman" w:eastAsia="Times New Roman" w:hAnsi="Times New Roman" w:cs="Times New Roman"/>
          <w:b/>
          <w:bCs/>
          <w:color w:val="000000" w:themeColor="text1"/>
          <w:kern w:val="36"/>
          <w:sz w:val="22"/>
          <w:szCs w:val="22"/>
          <w14:ligatures w14:val="none"/>
        </w:rPr>
        <w:t xml:space="preserve"> </w:t>
      </w:r>
    </w:p>
    <w:p w14:paraId="7280744C" w14:textId="77777777" w:rsidR="00B859EB" w:rsidRPr="005C4BD0" w:rsidRDefault="00B859EB" w:rsidP="00B859EB">
      <w:p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The Advisor will deliver the following outputs:</w:t>
      </w:r>
    </w:p>
    <w:p w14:paraId="6FB5E40B"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A comprehensive Lending Policy and Credit Procedures Manual covering the full lending lifecycle (origination to recovery), including credit standards, governance, appraisal methodologies, loan administration, provisioning, write-off policies, and aligned with SDRB’s investment approaches.</w:t>
      </w:r>
    </w:p>
    <w:p w14:paraId="2FFA5CFB"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lastRenderedPageBreak/>
        <w:t>A documented Risk Management Framework and Risk Appetite Statement, including policies and procedures for credit risk, operational risk, portfolio risk oversight, and establishment of risk registers.</w:t>
      </w:r>
    </w:p>
    <w:p w14:paraId="32CDD1A4"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Operational frameworks and tools for credit appraisal, risk assessment, pricing, collateral management, exposure limits, and portfolio monitoring, including standardized templates, risk rating models, and reporting dashboards (PAR, NPL).</w:t>
      </w:r>
    </w:p>
    <w:p w14:paraId="1CF04CDC"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AML/CFT Policy and Procedures, including CDD, EDD, transaction monitoring, and STR reporting mechanisms, aligned with regulatory requirements.</w:t>
      </w:r>
    </w:p>
    <w:p w14:paraId="49C143F3"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Portfolio Monitoring and Early Warning Systems (EWS), including NPL management, restructuring and recovery procedures, risk escalation protocols, and performance tracking frameworks.</w:t>
      </w:r>
    </w:p>
    <w:p w14:paraId="1658ABAE"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Risk Governance and Institutional Frameworks, including investment and risk committee structures, approval authorities, reporting lines, and internal control mechanisms.</w:t>
      </w:r>
    </w:p>
    <w:p w14:paraId="62BEE2FD"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Guidelines on risk-sharing mechanisms and blended finance structures, including guarantees and integration of concessional funding into SDRB lending operations.</w:t>
      </w:r>
    </w:p>
    <w:p w14:paraId="5016E744" w14:textId="77777777"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Training materials and capacity-building sessions for SDRB staff on credit operations, risk management, and AML/CFT practices.</w:t>
      </w:r>
    </w:p>
    <w:p w14:paraId="501B927D" w14:textId="14027C02" w:rsidR="004654C3" w:rsidRPr="005C4BD0" w:rsidRDefault="004654C3" w:rsidP="004654C3">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Periodic advisory notes to SDRB senior management on the implementation, operationalization, and continuous improvement of lending and risk systems.</w:t>
      </w:r>
    </w:p>
    <w:p w14:paraId="503A1F9F" w14:textId="77777777" w:rsidR="00C22214" w:rsidRPr="005C4BD0" w:rsidRDefault="00C22214" w:rsidP="00C22214">
      <w:pPr>
        <w:pStyle w:val="ListParagraph"/>
        <w:pBdr>
          <w:top w:val="nil"/>
          <w:left w:val="nil"/>
          <w:bottom w:val="nil"/>
          <w:right w:val="nil"/>
          <w:between w:val="nil"/>
        </w:pBdr>
        <w:spacing w:line="240" w:lineRule="auto"/>
        <w:rPr>
          <w:rFonts w:ascii="Times New Roman" w:eastAsia="Times New Roman" w:hAnsi="Times New Roman" w:cs="Times New Roman"/>
          <w:b/>
          <w:bCs/>
          <w:i/>
          <w:iCs/>
          <w:sz w:val="22"/>
          <w:szCs w:val="22"/>
        </w:rPr>
      </w:pPr>
    </w:p>
    <w:p w14:paraId="5D4775C6" w14:textId="454355BC" w:rsidR="00C22214" w:rsidRPr="005C4BD0" w:rsidRDefault="00C22214" w:rsidP="00C22214">
      <w:pPr>
        <w:pStyle w:val="ListParagraph"/>
        <w:pBdr>
          <w:top w:val="nil"/>
          <w:left w:val="nil"/>
          <w:bottom w:val="nil"/>
          <w:right w:val="nil"/>
          <w:between w:val="nil"/>
        </w:pBdr>
        <w:spacing w:line="240" w:lineRule="auto"/>
        <w:rPr>
          <w:rFonts w:ascii="Times New Roman" w:eastAsia="Times New Roman" w:hAnsi="Times New Roman" w:cs="Times New Roman"/>
          <w:sz w:val="22"/>
          <w:szCs w:val="22"/>
        </w:rPr>
      </w:pPr>
      <w:r w:rsidRPr="005C4BD0">
        <w:rPr>
          <w:rFonts w:ascii="Times New Roman" w:eastAsia="Times New Roman" w:hAnsi="Times New Roman" w:cs="Times New Roman"/>
          <w:b/>
          <w:bCs/>
          <w:i/>
          <w:iCs/>
          <w:sz w:val="22"/>
          <w:szCs w:val="22"/>
        </w:rPr>
        <w:t>Note</w:t>
      </w:r>
      <w:r w:rsidRPr="005C4BD0">
        <w:rPr>
          <w:rFonts w:ascii="Times New Roman" w:eastAsia="Times New Roman" w:hAnsi="Times New Roman" w:cs="Times New Roman"/>
          <w:sz w:val="22"/>
          <w:szCs w:val="22"/>
        </w:rPr>
        <w:t>: The sequencing and timing of deliverables may be adjusted, in consultation with the President of SDRB, to reflect evolving institutional priorities and operational needs</w:t>
      </w:r>
    </w:p>
    <w:p w14:paraId="1DA99DBC" w14:textId="77777777" w:rsidR="00044731" w:rsidRPr="005C4BD0" w:rsidRDefault="00044731" w:rsidP="00044731">
      <w:pPr>
        <w:jc w:val="both"/>
        <w:rPr>
          <w:rFonts w:ascii="Times New Roman" w:hAnsi="Times New Roman" w:cs="Times New Roman"/>
          <w:b/>
          <w:bCs/>
          <w:sz w:val="22"/>
          <w:szCs w:val="22"/>
        </w:rPr>
      </w:pPr>
      <w:r w:rsidRPr="005C4BD0">
        <w:rPr>
          <w:rFonts w:ascii="Times New Roman" w:hAnsi="Times New Roman" w:cs="Times New Roman"/>
          <w:b/>
          <w:bCs/>
          <w:sz w:val="22"/>
          <w:szCs w:val="22"/>
        </w:rPr>
        <w:t>PAYMENT SCHEDULE</w:t>
      </w:r>
    </w:p>
    <w:tbl>
      <w:tblPr>
        <w:tblStyle w:val="TableGrid"/>
        <w:tblW w:w="0" w:type="auto"/>
        <w:tblLook w:val="04A0" w:firstRow="1" w:lastRow="0" w:firstColumn="1" w:lastColumn="0" w:noHBand="0" w:noVBand="1"/>
      </w:tblPr>
      <w:tblGrid>
        <w:gridCol w:w="5382"/>
        <w:gridCol w:w="2607"/>
        <w:gridCol w:w="1361"/>
      </w:tblGrid>
      <w:tr w:rsidR="00044731" w:rsidRPr="005C4BD0" w14:paraId="4B4FB9F0" w14:textId="77777777" w:rsidTr="00972D12">
        <w:tc>
          <w:tcPr>
            <w:tcW w:w="5382" w:type="dxa"/>
            <w:hideMark/>
          </w:tcPr>
          <w:p w14:paraId="0F14F584" w14:textId="77777777" w:rsidR="00044731" w:rsidRPr="005C4BD0" w:rsidRDefault="00044731" w:rsidP="00972D12">
            <w:pPr>
              <w:jc w:val="center"/>
              <w:rPr>
                <w:rFonts w:ascii="Times New Roman" w:hAnsi="Times New Roman" w:cs="Times New Roman"/>
                <w:b/>
                <w:bCs/>
                <w:sz w:val="22"/>
                <w:szCs w:val="22"/>
                <w:lang w:eastAsia="en-GB"/>
              </w:rPr>
            </w:pPr>
            <w:r w:rsidRPr="005C4BD0">
              <w:rPr>
                <w:rFonts w:ascii="Times New Roman" w:hAnsi="Times New Roman" w:cs="Times New Roman"/>
                <w:b/>
                <w:bCs/>
                <w:sz w:val="22"/>
                <w:szCs w:val="22"/>
                <w:lang w:eastAsia="en-GB"/>
              </w:rPr>
              <w:t>Deliverable</w:t>
            </w:r>
          </w:p>
        </w:tc>
        <w:tc>
          <w:tcPr>
            <w:tcW w:w="2607" w:type="dxa"/>
            <w:hideMark/>
          </w:tcPr>
          <w:p w14:paraId="321B6F9E" w14:textId="77777777" w:rsidR="00044731" w:rsidRPr="005C4BD0" w:rsidRDefault="00044731" w:rsidP="00972D12">
            <w:pPr>
              <w:jc w:val="center"/>
              <w:rPr>
                <w:rFonts w:ascii="Times New Roman" w:hAnsi="Times New Roman" w:cs="Times New Roman"/>
                <w:b/>
                <w:bCs/>
                <w:sz w:val="22"/>
                <w:szCs w:val="22"/>
                <w:lang w:eastAsia="en-GB"/>
              </w:rPr>
            </w:pPr>
            <w:r w:rsidRPr="005C4BD0">
              <w:rPr>
                <w:rFonts w:ascii="Times New Roman" w:hAnsi="Times New Roman" w:cs="Times New Roman"/>
                <w:b/>
                <w:bCs/>
                <w:sz w:val="22"/>
                <w:szCs w:val="22"/>
                <w:lang w:eastAsia="en-GB"/>
              </w:rPr>
              <w:t>Timeline</w:t>
            </w:r>
          </w:p>
        </w:tc>
        <w:tc>
          <w:tcPr>
            <w:tcW w:w="0" w:type="auto"/>
            <w:hideMark/>
          </w:tcPr>
          <w:p w14:paraId="6195CFBF" w14:textId="77777777" w:rsidR="00044731" w:rsidRPr="005C4BD0" w:rsidRDefault="00044731" w:rsidP="00972D12">
            <w:pPr>
              <w:jc w:val="center"/>
              <w:rPr>
                <w:rFonts w:ascii="Times New Roman" w:hAnsi="Times New Roman" w:cs="Times New Roman"/>
                <w:b/>
                <w:bCs/>
                <w:sz w:val="22"/>
                <w:szCs w:val="22"/>
                <w:lang w:eastAsia="en-GB"/>
              </w:rPr>
            </w:pPr>
            <w:r w:rsidRPr="005C4BD0">
              <w:rPr>
                <w:rFonts w:ascii="Times New Roman" w:hAnsi="Times New Roman" w:cs="Times New Roman"/>
                <w:b/>
                <w:bCs/>
                <w:sz w:val="22"/>
                <w:szCs w:val="22"/>
                <w:lang w:eastAsia="en-GB"/>
              </w:rPr>
              <w:t>Payment (%)</w:t>
            </w:r>
          </w:p>
        </w:tc>
      </w:tr>
      <w:tr w:rsidR="00044731" w:rsidRPr="005C4BD0" w14:paraId="434FB3CB" w14:textId="77777777" w:rsidTr="00972D12">
        <w:tc>
          <w:tcPr>
            <w:tcW w:w="5382" w:type="dxa"/>
            <w:hideMark/>
          </w:tcPr>
          <w:p w14:paraId="4C9D0713" w14:textId="77777777"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Foundational Deliverables:</w:t>
            </w:r>
          </w:p>
          <w:p w14:paraId="3F254A68" w14:textId="77777777" w:rsidR="00044731" w:rsidRPr="005C4BD0" w:rsidRDefault="00044731" w:rsidP="00044731">
            <w:pPr>
              <w:pStyle w:val="ListParagraph"/>
              <w:numPr>
                <w:ilvl w:val="0"/>
                <w:numId w:val="11"/>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 xml:space="preserve">Inception Report </w:t>
            </w:r>
          </w:p>
          <w:p w14:paraId="7BE53492" w14:textId="2A06A872" w:rsidR="00044731" w:rsidRPr="005C4BD0" w:rsidRDefault="00044731" w:rsidP="00044731">
            <w:pPr>
              <w:pStyle w:val="ListParagraph"/>
              <w:numPr>
                <w:ilvl w:val="0"/>
                <w:numId w:val="11"/>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Diagnostic Review of SDRB credit &amp; risk systems, work plan</w:t>
            </w:r>
          </w:p>
          <w:p w14:paraId="231ED295" w14:textId="77777777" w:rsidR="00044731" w:rsidRPr="005C4BD0" w:rsidRDefault="00044731" w:rsidP="00972D12">
            <w:pPr>
              <w:pStyle w:val="ListParagraph"/>
              <w:rPr>
                <w:rFonts w:ascii="Times New Roman" w:hAnsi="Times New Roman" w:cs="Times New Roman"/>
                <w:sz w:val="22"/>
                <w:szCs w:val="22"/>
                <w:lang w:eastAsia="en-GB"/>
              </w:rPr>
            </w:pPr>
          </w:p>
        </w:tc>
        <w:tc>
          <w:tcPr>
            <w:tcW w:w="2607" w:type="dxa"/>
            <w:hideMark/>
          </w:tcPr>
          <w:p w14:paraId="7081563F" w14:textId="77777777"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Within 30 days of contract signing</w:t>
            </w:r>
          </w:p>
        </w:tc>
        <w:tc>
          <w:tcPr>
            <w:tcW w:w="0" w:type="auto"/>
            <w:hideMark/>
          </w:tcPr>
          <w:p w14:paraId="2CD6B0F7" w14:textId="4E71E65B"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15%</w:t>
            </w:r>
          </w:p>
        </w:tc>
      </w:tr>
      <w:tr w:rsidR="00044731" w:rsidRPr="005C4BD0" w14:paraId="438FA16C" w14:textId="77777777" w:rsidTr="00972D12">
        <w:tc>
          <w:tcPr>
            <w:tcW w:w="5382" w:type="dxa"/>
            <w:hideMark/>
          </w:tcPr>
          <w:p w14:paraId="63B15832" w14:textId="36F5DF9E"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Credit Policy Development (Phase I)</w:t>
            </w:r>
          </w:p>
          <w:p w14:paraId="4B06955A" w14:textId="4EAABC71" w:rsidR="00044731" w:rsidRPr="005C4BD0" w:rsidRDefault="0028073C" w:rsidP="00044731">
            <w:pPr>
              <w:pStyle w:val="ListParagraph"/>
              <w:numPr>
                <w:ilvl w:val="0"/>
                <w:numId w:val="12"/>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Credit</w:t>
            </w:r>
            <w:r w:rsidR="00044731" w:rsidRPr="005C4BD0">
              <w:rPr>
                <w:rFonts w:ascii="Times New Roman" w:hAnsi="Times New Roman" w:cs="Times New Roman"/>
                <w:sz w:val="22"/>
                <w:szCs w:val="22"/>
                <w:lang w:eastAsia="en-GB"/>
              </w:rPr>
              <w:t xml:space="preserve"> policy, </w:t>
            </w:r>
            <w:r w:rsidRPr="005C4BD0">
              <w:rPr>
                <w:rFonts w:ascii="Times New Roman" w:hAnsi="Times New Roman" w:cs="Times New Roman"/>
                <w:sz w:val="22"/>
                <w:szCs w:val="22"/>
                <w:lang w:eastAsia="en-GB"/>
              </w:rPr>
              <w:t xml:space="preserve">Credit </w:t>
            </w:r>
            <w:r w:rsidR="00044731" w:rsidRPr="005C4BD0">
              <w:rPr>
                <w:rFonts w:ascii="Times New Roman" w:hAnsi="Times New Roman" w:cs="Times New Roman"/>
                <w:sz w:val="22"/>
                <w:szCs w:val="22"/>
                <w:lang w:eastAsia="en-GB"/>
              </w:rPr>
              <w:t xml:space="preserve">governance </w:t>
            </w:r>
            <w:r w:rsidRPr="005C4BD0">
              <w:rPr>
                <w:rFonts w:ascii="Times New Roman" w:hAnsi="Times New Roman" w:cs="Times New Roman"/>
                <w:sz w:val="22"/>
                <w:szCs w:val="22"/>
                <w:lang w:eastAsia="en-GB"/>
              </w:rPr>
              <w:t>framework</w:t>
            </w:r>
            <w:r w:rsidR="00044731" w:rsidRPr="005C4BD0">
              <w:rPr>
                <w:rFonts w:ascii="Times New Roman" w:hAnsi="Times New Roman" w:cs="Times New Roman"/>
                <w:sz w:val="22"/>
                <w:szCs w:val="22"/>
                <w:lang w:eastAsia="en-GB"/>
              </w:rPr>
              <w:t>, credit appraisal tools</w:t>
            </w:r>
            <w:r w:rsidRPr="005C4BD0">
              <w:rPr>
                <w:rFonts w:ascii="Times New Roman" w:hAnsi="Times New Roman" w:cs="Times New Roman"/>
                <w:sz w:val="22"/>
                <w:szCs w:val="22"/>
                <w:lang w:eastAsia="en-GB"/>
              </w:rPr>
              <w:t xml:space="preserve"> and </w:t>
            </w:r>
            <w:proofErr w:type="spellStart"/>
            <w:r w:rsidRPr="005C4BD0">
              <w:rPr>
                <w:rFonts w:ascii="Times New Roman" w:hAnsi="Times New Roman" w:cs="Times New Roman"/>
                <w:sz w:val="22"/>
                <w:szCs w:val="22"/>
                <w:lang w:eastAsia="en-GB"/>
              </w:rPr>
              <w:t>methologies</w:t>
            </w:r>
            <w:proofErr w:type="spellEnd"/>
            <w:r w:rsidRPr="005C4BD0">
              <w:rPr>
                <w:rFonts w:ascii="Times New Roman" w:hAnsi="Times New Roman" w:cs="Times New Roman"/>
                <w:sz w:val="22"/>
                <w:szCs w:val="22"/>
                <w:lang w:eastAsia="en-GB"/>
              </w:rPr>
              <w:t>.</w:t>
            </w:r>
          </w:p>
          <w:p w14:paraId="569C865E" w14:textId="77777777" w:rsidR="00044731" w:rsidRPr="005C4BD0" w:rsidRDefault="00044731" w:rsidP="00972D12">
            <w:pPr>
              <w:pStyle w:val="ListParagraph"/>
              <w:rPr>
                <w:rFonts w:ascii="Times New Roman" w:hAnsi="Times New Roman" w:cs="Times New Roman"/>
                <w:sz w:val="22"/>
                <w:szCs w:val="22"/>
                <w:lang w:eastAsia="en-GB"/>
              </w:rPr>
            </w:pPr>
          </w:p>
        </w:tc>
        <w:tc>
          <w:tcPr>
            <w:tcW w:w="2607" w:type="dxa"/>
            <w:hideMark/>
          </w:tcPr>
          <w:p w14:paraId="4DDBBAD6" w14:textId="49E14C0A"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Month 2</w:t>
            </w:r>
          </w:p>
        </w:tc>
        <w:tc>
          <w:tcPr>
            <w:tcW w:w="0" w:type="auto"/>
            <w:hideMark/>
          </w:tcPr>
          <w:p w14:paraId="019B72CC" w14:textId="1D777E84"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20%</w:t>
            </w:r>
          </w:p>
        </w:tc>
      </w:tr>
      <w:tr w:rsidR="00044731" w:rsidRPr="005C4BD0" w14:paraId="440D8770" w14:textId="77777777" w:rsidTr="00972D12">
        <w:tc>
          <w:tcPr>
            <w:tcW w:w="5382" w:type="dxa"/>
            <w:hideMark/>
          </w:tcPr>
          <w:p w14:paraId="7830979B" w14:textId="5AAB0C87" w:rsidR="00044731" w:rsidRPr="005C4BD0" w:rsidRDefault="00044731" w:rsidP="0028073C">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Credit Procedures &amp; Operations (Phase II)</w:t>
            </w:r>
          </w:p>
          <w:p w14:paraId="4DD4A240" w14:textId="2183F004" w:rsidR="00044731" w:rsidRPr="005C4BD0" w:rsidRDefault="00044731" w:rsidP="002A3C82">
            <w:pPr>
              <w:pStyle w:val="p1"/>
              <w:numPr>
                <w:ilvl w:val="0"/>
                <w:numId w:val="18"/>
              </w:numPr>
              <w:spacing w:before="0" w:beforeAutospacing="0"/>
              <w:rPr>
                <w:sz w:val="22"/>
                <w:szCs w:val="22"/>
                <w:lang w:eastAsia="en-GB"/>
              </w:rPr>
            </w:pPr>
            <w:r w:rsidRPr="005C4BD0">
              <w:rPr>
                <w:sz w:val="22"/>
                <w:szCs w:val="22"/>
                <w:lang w:eastAsia="en-GB"/>
              </w:rPr>
              <w:t>Credit procedures manual, loan administration, monitorin</w:t>
            </w:r>
            <w:r w:rsidR="0028073C" w:rsidRPr="005C4BD0">
              <w:rPr>
                <w:sz w:val="22"/>
                <w:szCs w:val="22"/>
                <w:lang w:eastAsia="en-GB"/>
              </w:rPr>
              <w:t>g,</w:t>
            </w:r>
            <w:r w:rsidRPr="005C4BD0">
              <w:rPr>
                <w:sz w:val="22"/>
                <w:szCs w:val="22"/>
                <w:lang w:eastAsia="en-GB"/>
              </w:rPr>
              <w:t xml:space="preserve"> recovery </w:t>
            </w:r>
            <w:r w:rsidR="0028073C" w:rsidRPr="005C4BD0">
              <w:rPr>
                <w:sz w:val="22"/>
                <w:szCs w:val="22"/>
                <w:lang w:eastAsia="en-GB"/>
              </w:rPr>
              <w:t>&amp; restructuring procedures</w:t>
            </w:r>
            <w:r w:rsidRPr="005C4BD0">
              <w:rPr>
                <w:sz w:val="22"/>
                <w:szCs w:val="22"/>
                <w:lang w:eastAsia="en-GB"/>
              </w:rPr>
              <w:t>, reporting framework</w:t>
            </w:r>
          </w:p>
        </w:tc>
        <w:tc>
          <w:tcPr>
            <w:tcW w:w="2607" w:type="dxa"/>
            <w:hideMark/>
          </w:tcPr>
          <w:p w14:paraId="71615880" w14:textId="6FEF540D"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Month 3</w:t>
            </w:r>
          </w:p>
        </w:tc>
        <w:tc>
          <w:tcPr>
            <w:tcW w:w="0" w:type="auto"/>
            <w:hideMark/>
          </w:tcPr>
          <w:p w14:paraId="3E8D0BE1" w14:textId="46044257"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15%</w:t>
            </w:r>
          </w:p>
        </w:tc>
      </w:tr>
      <w:tr w:rsidR="00044731" w:rsidRPr="005C4BD0" w14:paraId="4DA2F122" w14:textId="77777777" w:rsidTr="00972D12">
        <w:tc>
          <w:tcPr>
            <w:tcW w:w="5382" w:type="dxa"/>
            <w:hideMark/>
          </w:tcPr>
          <w:p w14:paraId="56119F37" w14:textId="1CDC6E77" w:rsidR="00044731" w:rsidRPr="005C4BD0" w:rsidRDefault="00044731"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Risk Management Framework (Phase III)</w:t>
            </w:r>
          </w:p>
          <w:p w14:paraId="79325AF0" w14:textId="22C86E29" w:rsidR="00044731" w:rsidRPr="005C4BD0" w:rsidRDefault="00044731" w:rsidP="00044731">
            <w:pPr>
              <w:pStyle w:val="ListParagraph"/>
              <w:numPr>
                <w:ilvl w:val="0"/>
                <w:numId w:val="14"/>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 xml:space="preserve">Risk </w:t>
            </w:r>
            <w:r w:rsidR="0028073C" w:rsidRPr="005C4BD0">
              <w:rPr>
                <w:rFonts w:ascii="Times New Roman" w:hAnsi="Times New Roman" w:cs="Times New Roman"/>
                <w:sz w:val="22"/>
                <w:szCs w:val="22"/>
                <w:lang w:eastAsia="en-GB"/>
              </w:rPr>
              <w:t xml:space="preserve">management </w:t>
            </w:r>
            <w:r w:rsidRPr="005C4BD0">
              <w:rPr>
                <w:rFonts w:ascii="Times New Roman" w:hAnsi="Times New Roman" w:cs="Times New Roman"/>
                <w:sz w:val="22"/>
                <w:szCs w:val="22"/>
                <w:lang w:eastAsia="en-GB"/>
              </w:rPr>
              <w:t xml:space="preserve">policy, </w:t>
            </w:r>
            <w:r w:rsidR="004654C3" w:rsidRPr="005C4BD0">
              <w:rPr>
                <w:rFonts w:ascii="Times New Roman" w:hAnsi="Times New Roman" w:cs="Times New Roman"/>
                <w:sz w:val="22"/>
                <w:szCs w:val="22"/>
                <w:lang w:eastAsia="en-GB"/>
              </w:rPr>
              <w:t xml:space="preserve">Risk Governance, </w:t>
            </w:r>
            <w:r w:rsidR="0028073C" w:rsidRPr="005C4BD0">
              <w:rPr>
                <w:rFonts w:ascii="Times New Roman" w:hAnsi="Times New Roman" w:cs="Times New Roman"/>
                <w:sz w:val="22"/>
                <w:szCs w:val="22"/>
                <w:lang w:eastAsia="en-GB"/>
              </w:rPr>
              <w:t xml:space="preserve">procedure Manual and risk register, </w:t>
            </w:r>
            <w:r w:rsidRPr="005C4BD0">
              <w:rPr>
                <w:rFonts w:ascii="Times New Roman" w:hAnsi="Times New Roman" w:cs="Times New Roman"/>
                <w:sz w:val="22"/>
                <w:szCs w:val="22"/>
                <w:lang w:eastAsia="en-GB"/>
              </w:rPr>
              <w:t>risk appetite statement, early warning system, governance structures</w:t>
            </w:r>
            <w:r w:rsidR="0028073C" w:rsidRPr="005C4BD0">
              <w:rPr>
                <w:rFonts w:ascii="Times New Roman" w:hAnsi="Times New Roman" w:cs="Times New Roman"/>
                <w:sz w:val="22"/>
                <w:szCs w:val="22"/>
                <w:lang w:eastAsia="en-GB"/>
              </w:rPr>
              <w:t xml:space="preserve">, AML.CFT Policy, </w:t>
            </w:r>
            <w:r w:rsidR="004654C3" w:rsidRPr="005C4BD0">
              <w:rPr>
                <w:rFonts w:ascii="Times New Roman" w:hAnsi="Times New Roman" w:cs="Times New Roman"/>
                <w:sz w:val="22"/>
                <w:szCs w:val="22"/>
                <w:lang w:eastAsia="en-GB"/>
              </w:rPr>
              <w:t xml:space="preserve">Risk identification, assessment and monitoring system, Risk portfolio Management, </w:t>
            </w:r>
          </w:p>
        </w:tc>
        <w:tc>
          <w:tcPr>
            <w:tcW w:w="2607" w:type="dxa"/>
            <w:hideMark/>
          </w:tcPr>
          <w:p w14:paraId="1BD7A8CB" w14:textId="62CDD67D" w:rsidR="00044731"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Month 4</w:t>
            </w:r>
          </w:p>
        </w:tc>
        <w:tc>
          <w:tcPr>
            <w:tcW w:w="0" w:type="auto"/>
            <w:hideMark/>
          </w:tcPr>
          <w:p w14:paraId="3B73341C" w14:textId="05927DFE" w:rsidR="00044731"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15</w:t>
            </w:r>
            <w:r w:rsidR="00044731" w:rsidRPr="005C4BD0">
              <w:rPr>
                <w:rFonts w:ascii="Times New Roman" w:hAnsi="Times New Roman" w:cs="Times New Roman"/>
                <w:sz w:val="22"/>
                <w:szCs w:val="22"/>
                <w:lang w:eastAsia="en-GB"/>
              </w:rPr>
              <w:t>%</w:t>
            </w:r>
          </w:p>
        </w:tc>
      </w:tr>
      <w:tr w:rsidR="00E54D28" w:rsidRPr="005C4BD0" w14:paraId="6F99770E" w14:textId="77777777" w:rsidTr="00972D12">
        <w:tc>
          <w:tcPr>
            <w:tcW w:w="5382" w:type="dxa"/>
          </w:tcPr>
          <w:p w14:paraId="486B3B01" w14:textId="70D0DF26"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 xml:space="preserve">Sharia &amp; Financial </w:t>
            </w:r>
            <w:proofErr w:type="spellStart"/>
            <w:r w:rsidRPr="005C4BD0">
              <w:rPr>
                <w:rFonts w:ascii="Times New Roman" w:hAnsi="Times New Roman" w:cs="Times New Roman"/>
                <w:sz w:val="22"/>
                <w:szCs w:val="22"/>
                <w:lang w:eastAsia="en-GB"/>
              </w:rPr>
              <w:t>Strcuturing</w:t>
            </w:r>
            <w:proofErr w:type="spellEnd"/>
            <w:r w:rsidR="002A3C82" w:rsidRPr="005C4BD0">
              <w:rPr>
                <w:rFonts w:ascii="Times New Roman" w:hAnsi="Times New Roman" w:cs="Times New Roman"/>
                <w:sz w:val="22"/>
                <w:szCs w:val="22"/>
                <w:lang w:eastAsia="en-GB"/>
              </w:rPr>
              <w:t xml:space="preserve"> &amp; Credit Procedures</w:t>
            </w:r>
            <w:r w:rsidRPr="005C4BD0">
              <w:rPr>
                <w:rFonts w:ascii="Times New Roman" w:hAnsi="Times New Roman" w:cs="Times New Roman"/>
                <w:sz w:val="22"/>
                <w:szCs w:val="22"/>
                <w:lang w:eastAsia="en-GB"/>
              </w:rPr>
              <w:t xml:space="preserve"> (Phase IV)</w:t>
            </w:r>
          </w:p>
          <w:p w14:paraId="33FA26C5" w14:textId="605ADE37" w:rsidR="00E54D28" w:rsidRPr="005C4BD0" w:rsidRDefault="00E54D28" w:rsidP="002A3C82">
            <w:pPr>
              <w:pStyle w:val="ListParagraph"/>
              <w:numPr>
                <w:ilvl w:val="0"/>
                <w:numId w:val="14"/>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Sharia-compliant credit pricing framework</w:t>
            </w:r>
          </w:p>
          <w:p w14:paraId="523CB070" w14:textId="47100574" w:rsidR="002A3C82" w:rsidRPr="005C4BD0" w:rsidRDefault="002A3C82" w:rsidP="002A3C82">
            <w:pPr>
              <w:pStyle w:val="p1"/>
              <w:numPr>
                <w:ilvl w:val="0"/>
                <w:numId w:val="14"/>
              </w:numPr>
              <w:spacing w:before="0" w:beforeAutospacing="0"/>
              <w:rPr>
                <w:sz w:val="22"/>
                <w:szCs w:val="22"/>
              </w:rPr>
            </w:pPr>
            <w:r w:rsidRPr="005C4BD0">
              <w:rPr>
                <w:sz w:val="22"/>
                <w:szCs w:val="22"/>
                <w:lang w:eastAsia="en-GB"/>
              </w:rPr>
              <w:t xml:space="preserve">Provisioning &amp; Asset Classification Framework, Write-Off Policy &amp; Post Write-Off Recovery </w:t>
            </w:r>
            <w:r w:rsidRPr="005C4BD0">
              <w:rPr>
                <w:sz w:val="22"/>
                <w:szCs w:val="22"/>
                <w:lang w:eastAsia="en-GB"/>
              </w:rPr>
              <w:lastRenderedPageBreak/>
              <w:t xml:space="preserve">Procedures, Credit &amp; Portfolio Reporting Framework, </w:t>
            </w:r>
          </w:p>
        </w:tc>
        <w:tc>
          <w:tcPr>
            <w:tcW w:w="2607" w:type="dxa"/>
          </w:tcPr>
          <w:p w14:paraId="7D4995D2" w14:textId="1B49B84D"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lastRenderedPageBreak/>
              <w:t>Month 5</w:t>
            </w:r>
          </w:p>
        </w:tc>
        <w:tc>
          <w:tcPr>
            <w:tcW w:w="0" w:type="auto"/>
          </w:tcPr>
          <w:p w14:paraId="0B059107" w14:textId="31A117ED"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15%</w:t>
            </w:r>
          </w:p>
        </w:tc>
      </w:tr>
      <w:tr w:rsidR="00E54D28" w:rsidRPr="005C4BD0" w14:paraId="34A2A980" w14:textId="77777777" w:rsidTr="00972D12">
        <w:tc>
          <w:tcPr>
            <w:tcW w:w="5382" w:type="dxa"/>
          </w:tcPr>
          <w:p w14:paraId="20214DD8" w14:textId="77777777"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Completion Phase</w:t>
            </w:r>
          </w:p>
          <w:p w14:paraId="2EF5ABA9" w14:textId="243A45D5" w:rsidR="00E54D28" w:rsidRPr="005C4BD0" w:rsidRDefault="00E54D28" w:rsidP="00E54D28">
            <w:pPr>
              <w:pStyle w:val="ListParagraph"/>
              <w:numPr>
                <w:ilvl w:val="0"/>
                <w:numId w:val="14"/>
              </w:num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Staff training, final lending &amp; risk manuals, handover report, advisory notes</w:t>
            </w:r>
          </w:p>
        </w:tc>
        <w:tc>
          <w:tcPr>
            <w:tcW w:w="2607" w:type="dxa"/>
          </w:tcPr>
          <w:p w14:paraId="21C74F4F" w14:textId="0BAC3906"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Month 6</w:t>
            </w:r>
          </w:p>
        </w:tc>
        <w:tc>
          <w:tcPr>
            <w:tcW w:w="0" w:type="auto"/>
          </w:tcPr>
          <w:p w14:paraId="763A462A" w14:textId="75D4A39D" w:rsidR="00E54D28" w:rsidRPr="005C4BD0" w:rsidRDefault="00E54D28" w:rsidP="00972D12">
            <w:pPr>
              <w:rPr>
                <w:rFonts w:ascii="Times New Roman" w:hAnsi="Times New Roman" w:cs="Times New Roman"/>
                <w:sz w:val="22"/>
                <w:szCs w:val="22"/>
                <w:lang w:eastAsia="en-GB"/>
              </w:rPr>
            </w:pPr>
            <w:r w:rsidRPr="005C4BD0">
              <w:rPr>
                <w:rFonts w:ascii="Times New Roman" w:hAnsi="Times New Roman" w:cs="Times New Roman"/>
                <w:sz w:val="22"/>
                <w:szCs w:val="22"/>
                <w:lang w:eastAsia="en-GB"/>
              </w:rPr>
              <w:t>20%</w:t>
            </w:r>
          </w:p>
        </w:tc>
      </w:tr>
    </w:tbl>
    <w:p w14:paraId="17D84630" w14:textId="77777777" w:rsidR="00D460C2" w:rsidRPr="00044731" w:rsidRDefault="00D460C2" w:rsidP="00044731">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p>
    <w:p w14:paraId="1EDE1B77" w14:textId="517E3D24" w:rsidR="00B859EB" w:rsidRPr="00230BCB"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14:ligatures w14:val="none"/>
        </w:rPr>
      </w:pPr>
      <w:r w:rsidRPr="00230BCB">
        <w:rPr>
          <w:rFonts w:ascii="Times New Roman" w:eastAsia="Times New Roman" w:hAnsi="Times New Roman" w:cs="Times New Roman"/>
          <w:b/>
          <w:bCs/>
          <w:color w:val="000000" w:themeColor="text1"/>
          <w:kern w:val="36"/>
          <w14:ligatures w14:val="none"/>
        </w:rPr>
        <w:t xml:space="preserve">5. </w:t>
      </w:r>
      <w:r w:rsidR="00CE402E">
        <w:rPr>
          <w:rFonts w:ascii="Times New Roman" w:eastAsia="Times New Roman" w:hAnsi="Times New Roman" w:cs="Times New Roman"/>
          <w:b/>
          <w:bCs/>
          <w:color w:val="000000" w:themeColor="text1"/>
          <w:kern w:val="36"/>
          <w14:ligatures w14:val="none"/>
        </w:rPr>
        <w:t>Q</w:t>
      </w:r>
      <w:r w:rsidR="00C22214">
        <w:rPr>
          <w:rFonts w:ascii="Times New Roman" w:eastAsia="Times New Roman" w:hAnsi="Times New Roman" w:cs="Times New Roman"/>
          <w:b/>
          <w:bCs/>
          <w:color w:val="000000" w:themeColor="text1"/>
          <w:kern w:val="36"/>
          <w14:ligatures w14:val="none"/>
        </w:rPr>
        <w:t>ualifications</w:t>
      </w:r>
    </w:p>
    <w:p w14:paraId="49D070CF" w14:textId="77777777" w:rsidR="00B859EB" w:rsidRPr="005C4BD0" w:rsidRDefault="00B859EB" w:rsidP="00B859EB">
      <w:p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color w:val="000000" w:themeColor="text1"/>
          <w:kern w:val="0"/>
          <w:sz w:val="22"/>
          <w:szCs w:val="22"/>
          <w14:ligatures w14:val="none"/>
        </w:rPr>
        <w:t>The Advisor should possess:</w:t>
      </w:r>
    </w:p>
    <w:p w14:paraId="14CB538E" w14:textId="77777777" w:rsidR="005C4BD0" w:rsidRPr="005C4BD0" w:rsidRDefault="005C4BD0" w:rsidP="005C4BD0">
      <w:pPr>
        <w:pStyle w:val="ListParagraph"/>
        <w:numPr>
          <w:ilvl w:val="0"/>
          <w:numId w:val="5"/>
        </w:numPr>
        <w:spacing w:after="0" w:line="240" w:lineRule="auto"/>
        <w:rPr>
          <w:rFonts w:ascii="Times New Roman" w:hAnsi="Times New Roman" w:cs="Times New Roman"/>
          <w:sz w:val="22"/>
          <w:szCs w:val="22"/>
        </w:rPr>
      </w:pPr>
      <w:r w:rsidRPr="005C4BD0">
        <w:rPr>
          <w:rFonts w:ascii="Times New Roman" w:hAnsi="Times New Roman" w:cs="Times New Roman" w:hint="cs"/>
          <w:sz w:val="22"/>
          <w:szCs w:val="22"/>
        </w:rPr>
        <w:t>Master's degree or higher in Finance, Banking, Economics, Risk Management, Business Administration, or a related discipline from a recognized university.</w:t>
      </w:r>
    </w:p>
    <w:p w14:paraId="4F15FB98" w14:textId="7134E1E7" w:rsidR="005C4BD0" w:rsidRPr="005C4BD0" w:rsidRDefault="005C4BD0" w:rsidP="005C4BD0">
      <w:pPr>
        <w:pStyle w:val="ListParagraph"/>
        <w:numPr>
          <w:ilvl w:val="0"/>
          <w:numId w:val="5"/>
        </w:numPr>
        <w:spacing w:after="0" w:line="240" w:lineRule="auto"/>
        <w:rPr>
          <w:rFonts w:ascii="Times New Roman" w:hAnsi="Times New Roman" w:cs="Times New Roman"/>
          <w:sz w:val="22"/>
          <w:szCs w:val="22"/>
        </w:rPr>
      </w:pPr>
      <w:r w:rsidRPr="005C4BD0">
        <w:rPr>
          <w:rFonts w:ascii="Times New Roman" w:hAnsi="Times New Roman" w:cs="Times New Roman" w:hint="cs"/>
          <w:sz w:val="22"/>
          <w:szCs w:val="22"/>
        </w:rPr>
        <w:t>Additional professional qualifications in banking, credit risk management, financial analysis, or risk management will be considered an advantage.</w:t>
      </w:r>
    </w:p>
    <w:p w14:paraId="601726E2" w14:textId="77777777" w:rsidR="005C4BD0" w:rsidRPr="005C4BD0" w:rsidRDefault="005C4BD0" w:rsidP="005C4BD0">
      <w:pPr>
        <w:pStyle w:val="ListParagraph"/>
        <w:numPr>
          <w:ilvl w:val="0"/>
          <w:numId w:val="5"/>
        </w:numPr>
        <w:spacing w:before="100" w:beforeAutospacing="1" w:after="100" w:afterAutospacing="1" w:line="240" w:lineRule="auto"/>
        <w:rPr>
          <w:rFonts w:ascii="Times New Roman" w:hAnsi="Times New Roman" w:cs="Times New Roman"/>
          <w:color w:val="000000"/>
          <w:sz w:val="22"/>
          <w:szCs w:val="22"/>
        </w:rPr>
      </w:pPr>
      <w:r w:rsidRPr="005C4BD0">
        <w:rPr>
          <w:rFonts w:ascii="Times New Roman" w:hAnsi="Times New Roman" w:cs="Times New Roman" w:hint="cs"/>
          <w:color w:val="000000"/>
          <w:sz w:val="22"/>
          <w:szCs w:val="22"/>
        </w:rPr>
        <w:t>Minimum of 12–15 years of progressively responsible experience in banking, development finance, Islamic finance, or a related field, with demonstrated expertise in lending operations, credit policy, and risk management.</w:t>
      </w:r>
    </w:p>
    <w:p w14:paraId="6DF59CDA" w14:textId="77777777" w:rsidR="005C4BD0" w:rsidRPr="005C4BD0" w:rsidRDefault="005C4BD0" w:rsidP="005C4BD0">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hAnsi="Times New Roman" w:cs="Times New Roman" w:hint="cs"/>
          <w:color w:val="000000"/>
          <w:sz w:val="22"/>
          <w:szCs w:val="22"/>
        </w:rPr>
        <w:t>Proven experience in developing and implementing credit policies, risk management frameworks, and governance systems within financial institutions; experience with development finance institutions and Islamic finance is an added advantage.</w:t>
      </w:r>
    </w:p>
    <w:p w14:paraId="22D04E10" w14:textId="4D1306B8" w:rsidR="00B859EB" w:rsidRPr="005C4BD0" w:rsidRDefault="00B859EB" w:rsidP="005C4BD0">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hint="cs"/>
          <w:color w:val="000000" w:themeColor="text1"/>
          <w:kern w:val="0"/>
          <w:sz w:val="22"/>
          <w:szCs w:val="22"/>
          <w14:ligatures w14:val="none"/>
        </w:rPr>
        <w:t>Demonstrated experience in developing credit policies, lending procedures, and risk frameworks for financial institutions.</w:t>
      </w:r>
    </w:p>
    <w:p w14:paraId="2C4F9115" w14:textId="7DD59408"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hint="cs"/>
          <w:color w:val="000000" w:themeColor="text1"/>
          <w:kern w:val="0"/>
          <w:sz w:val="22"/>
          <w:szCs w:val="22"/>
          <w14:ligatures w14:val="none"/>
        </w:rPr>
        <w:t>Strong knowledge of Islamic finance structures and Sharia governance frameworks.</w:t>
      </w:r>
    </w:p>
    <w:p w14:paraId="037DA13C" w14:textId="68C8EF77" w:rsidR="00B859EB" w:rsidRPr="005C4BD0" w:rsidRDefault="00B859EB" w:rsidP="0077656E">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hint="cs"/>
          <w:color w:val="000000" w:themeColor="text1"/>
          <w:kern w:val="0"/>
          <w:sz w:val="22"/>
          <w:szCs w:val="22"/>
          <w14:ligatures w14:val="none"/>
        </w:rPr>
        <w:t>Experience working with development finance institutions or banks operating in emerging or fragile markets.</w:t>
      </w:r>
    </w:p>
    <w:p w14:paraId="6216FFBC" w14:textId="6C858583" w:rsidR="004654C3" w:rsidRPr="005C4BD0" w:rsidRDefault="00B859EB" w:rsidP="005C4BD0">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sz w:val="22"/>
          <w:szCs w:val="22"/>
          <w14:ligatures w14:val="none"/>
        </w:rPr>
      </w:pPr>
      <w:r w:rsidRPr="005C4BD0">
        <w:rPr>
          <w:rFonts w:ascii="Times New Roman" w:eastAsia="Times New Roman" w:hAnsi="Times New Roman" w:cs="Times New Roman" w:hint="cs"/>
          <w:color w:val="000000" w:themeColor="text1"/>
          <w:kern w:val="0"/>
          <w:sz w:val="22"/>
          <w:szCs w:val="22"/>
          <w14:ligatures w14:val="none"/>
        </w:rPr>
        <w:t>Strong advisory, analytical, and institutional capacity-building skills.</w:t>
      </w:r>
    </w:p>
    <w:p w14:paraId="3FAE1520" w14:textId="1F1C4699" w:rsidR="005C4BD0" w:rsidRPr="005C4BD0" w:rsidRDefault="005C4BD0" w:rsidP="005C4BD0">
      <w:pPr>
        <w:pStyle w:val="ListParagraph"/>
        <w:numPr>
          <w:ilvl w:val="0"/>
          <w:numId w:val="5"/>
        </w:numPr>
        <w:spacing w:after="0" w:line="240" w:lineRule="auto"/>
        <w:jc w:val="both"/>
        <w:rPr>
          <w:rFonts w:ascii="Times New Roman" w:hAnsi="Times New Roman" w:cs="Times New Roman"/>
          <w:b/>
          <w:bCs/>
          <w:sz w:val="22"/>
          <w:szCs w:val="22"/>
        </w:rPr>
      </w:pPr>
      <w:r w:rsidRPr="005C4BD0">
        <w:rPr>
          <w:rFonts w:ascii="Times New Roman" w:hAnsi="Times New Roman" w:cs="Times New Roman" w:hint="cs"/>
          <w:sz w:val="22"/>
          <w:szCs w:val="22"/>
        </w:rPr>
        <w:t>Experience working in the Horn of Africa, East Africa, or similar regional environments will be an added advantage.</w:t>
      </w:r>
    </w:p>
    <w:p w14:paraId="5136BDFA" w14:textId="77777777" w:rsidR="004654C3" w:rsidRPr="00CE402E" w:rsidRDefault="004654C3" w:rsidP="00CE402E">
      <w:pPr>
        <w:pStyle w:val="ListParagraph"/>
        <w:spacing w:before="100" w:beforeAutospacing="1" w:after="100" w:afterAutospacing="1" w:line="240" w:lineRule="auto"/>
        <w:rPr>
          <w:rFonts w:ascii="Times New Roman" w:eastAsia="Times New Roman" w:hAnsi="Times New Roman" w:cs="Times New Roman"/>
          <w:color w:val="000000" w:themeColor="text1"/>
          <w:kern w:val="0"/>
          <w14:ligatures w14:val="none"/>
        </w:rPr>
      </w:pPr>
    </w:p>
    <w:p w14:paraId="6E905B87" w14:textId="51CC51F2" w:rsidR="00B859EB" w:rsidRPr="00230BCB" w:rsidRDefault="00B859EB" w:rsidP="00B859EB">
      <w:pPr>
        <w:spacing w:before="100" w:beforeAutospacing="1" w:after="100" w:afterAutospacing="1" w:line="240" w:lineRule="auto"/>
        <w:outlineLvl w:val="0"/>
        <w:rPr>
          <w:rFonts w:ascii="Times New Roman" w:eastAsia="Times New Roman" w:hAnsi="Times New Roman" w:cs="Times New Roman"/>
          <w:b/>
          <w:bCs/>
          <w:color w:val="000000" w:themeColor="text1"/>
          <w:kern w:val="36"/>
          <w14:ligatures w14:val="none"/>
        </w:rPr>
      </w:pPr>
      <w:r w:rsidRPr="00230BCB">
        <w:rPr>
          <w:rFonts w:ascii="Times New Roman" w:eastAsia="Times New Roman" w:hAnsi="Times New Roman" w:cs="Times New Roman"/>
          <w:b/>
          <w:bCs/>
          <w:color w:val="000000" w:themeColor="text1"/>
          <w:kern w:val="36"/>
          <w14:ligatures w14:val="none"/>
        </w:rPr>
        <w:t>6. R</w:t>
      </w:r>
      <w:r w:rsidR="00C22214">
        <w:rPr>
          <w:rFonts w:ascii="Times New Roman" w:eastAsia="Times New Roman" w:hAnsi="Times New Roman" w:cs="Times New Roman"/>
          <w:b/>
          <w:bCs/>
          <w:color w:val="000000" w:themeColor="text1"/>
          <w:kern w:val="36"/>
          <w14:ligatures w14:val="none"/>
        </w:rPr>
        <w:t>eporting</w:t>
      </w:r>
    </w:p>
    <w:p w14:paraId="33143351" w14:textId="2618353E" w:rsidR="00B859EB" w:rsidRDefault="00B859EB" w:rsidP="00B859EB">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230BCB">
        <w:rPr>
          <w:rFonts w:ascii="Times New Roman" w:eastAsia="Times New Roman" w:hAnsi="Times New Roman" w:cs="Times New Roman"/>
          <w:color w:val="000000" w:themeColor="text1"/>
          <w:kern w:val="0"/>
          <w14:ligatures w14:val="none"/>
        </w:rPr>
        <w:t xml:space="preserve">The Advisor will report to the </w:t>
      </w:r>
      <w:r w:rsidR="00F6704D" w:rsidRPr="00CE402E">
        <w:rPr>
          <w:rFonts w:ascii="Times New Roman" w:eastAsia="Times New Roman" w:hAnsi="Times New Roman" w:cs="Times New Roman"/>
          <w:color w:val="000000" w:themeColor="text1"/>
          <w:kern w:val="0"/>
          <w14:ligatures w14:val="none"/>
        </w:rPr>
        <w:t>President</w:t>
      </w:r>
      <w:r w:rsidRPr="00CE402E">
        <w:rPr>
          <w:rFonts w:ascii="Times New Roman" w:eastAsia="Times New Roman" w:hAnsi="Times New Roman" w:cs="Times New Roman"/>
          <w:color w:val="000000" w:themeColor="text1"/>
          <w:kern w:val="0"/>
          <w14:ligatures w14:val="none"/>
        </w:rPr>
        <w:t xml:space="preserve"> of SDRB</w:t>
      </w:r>
      <w:r w:rsidRPr="00230BCB">
        <w:rPr>
          <w:rFonts w:ascii="Times New Roman" w:eastAsia="Times New Roman" w:hAnsi="Times New Roman" w:cs="Times New Roman"/>
          <w:color w:val="000000" w:themeColor="text1"/>
          <w:kern w:val="0"/>
          <w14:ligatures w14:val="none"/>
        </w:rPr>
        <w:t xml:space="preserve"> and work closely with senior management and relevant committees.</w:t>
      </w:r>
    </w:p>
    <w:p w14:paraId="17B50678" w14:textId="77777777" w:rsidR="00CE402E" w:rsidRPr="00230BCB" w:rsidRDefault="00CE402E" w:rsidP="00B859EB">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p>
    <w:p w14:paraId="620E03D2" w14:textId="02C66189" w:rsidR="00B37625" w:rsidRPr="00C575F9" w:rsidRDefault="00CE402E">
      <w:pPr>
        <w:rPr>
          <w:rFonts w:ascii="Times New Roman" w:hAnsi="Times New Roman" w:cs="Times New Roman"/>
          <w:b/>
          <w:bCs/>
          <w:color w:val="000000" w:themeColor="text1"/>
        </w:rPr>
      </w:pPr>
      <w:r w:rsidRPr="00C575F9">
        <w:rPr>
          <w:rFonts w:ascii="Times New Roman" w:hAnsi="Times New Roman" w:cs="Times New Roman"/>
          <w:b/>
          <w:bCs/>
          <w:color w:val="000000" w:themeColor="text1"/>
        </w:rPr>
        <w:t>7.</w:t>
      </w:r>
      <w:r w:rsidRPr="00C575F9">
        <w:rPr>
          <w:rFonts w:ascii="Times New Roman" w:hAnsi="Times New Roman" w:cs="Times New Roman"/>
          <w:color w:val="000000" w:themeColor="text1"/>
        </w:rPr>
        <w:t xml:space="preserve"> </w:t>
      </w:r>
      <w:r w:rsidRPr="00C575F9">
        <w:rPr>
          <w:rFonts w:ascii="Times New Roman" w:hAnsi="Times New Roman" w:cs="Times New Roman"/>
          <w:b/>
          <w:bCs/>
          <w:color w:val="000000" w:themeColor="text1"/>
        </w:rPr>
        <w:t>D</w:t>
      </w:r>
      <w:r w:rsidR="00C22214">
        <w:rPr>
          <w:rFonts w:ascii="Times New Roman" w:hAnsi="Times New Roman" w:cs="Times New Roman"/>
          <w:b/>
          <w:bCs/>
          <w:color w:val="000000" w:themeColor="text1"/>
        </w:rPr>
        <w:t>uration</w:t>
      </w:r>
    </w:p>
    <w:p w14:paraId="1ABC36F0" w14:textId="60D75256" w:rsidR="00C575F9" w:rsidRPr="00BF3643" w:rsidRDefault="00C575F9" w:rsidP="00C575F9">
      <w:pPr>
        <w:rPr>
          <w:rFonts w:ascii="Times New Roman" w:eastAsia="Times New Roman" w:hAnsi="Times New Roman" w:cs="Times New Roman"/>
          <w:kern w:val="0"/>
          <w:sz w:val="20"/>
          <w:szCs w:val="20"/>
          <w14:ligatures w14:val="none"/>
        </w:rPr>
      </w:pPr>
      <w:r w:rsidRPr="00BF3643">
        <w:rPr>
          <w:rFonts w:ascii="Times New Roman" w:eastAsia="Times New Roman" w:hAnsi="Times New Roman" w:cs="Times New Roman"/>
          <w:kern w:val="0"/>
          <w:sz w:val="22"/>
          <w:szCs w:val="22"/>
          <w14:ligatures w14:val="none"/>
        </w:rPr>
        <w:t xml:space="preserve">The Consultant shall be engaged for a period of </w:t>
      </w:r>
      <w:r>
        <w:rPr>
          <w:rFonts w:ascii="Times New Roman" w:eastAsia="Times New Roman" w:hAnsi="Times New Roman" w:cs="Times New Roman"/>
          <w:kern w:val="0"/>
          <w:sz w:val="22"/>
          <w:szCs w:val="22"/>
          <w14:ligatures w14:val="none"/>
        </w:rPr>
        <w:t>six (6)</w:t>
      </w:r>
      <w:r w:rsidRPr="00BF3643">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months</w:t>
      </w:r>
      <w:r w:rsidRPr="00BF3643">
        <w:rPr>
          <w:rFonts w:ascii="Times New Roman" w:eastAsia="Times New Roman" w:hAnsi="Times New Roman" w:cs="Times New Roman"/>
          <w:kern w:val="0"/>
          <w:sz w:val="22"/>
          <w:szCs w:val="22"/>
          <w14:ligatures w14:val="none"/>
        </w:rPr>
        <w:t xml:space="preserve">, commencing from the date of contract signature, with continuation subject to satisfactory performance and budget availability. </w:t>
      </w:r>
    </w:p>
    <w:p w14:paraId="50858CF4" w14:textId="77777777" w:rsidR="00CE402E" w:rsidRPr="00F31AC6" w:rsidRDefault="00CE402E">
      <w:pPr>
        <w:rPr>
          <w:rFonts w:ascii="Times New Roman" w:hAnsi="Times New Roman" w:cs="Times New Roman"/>
          <w:color w:val="000000" w:themeColor="text1"/>
        </w:rPr>
      </w:pPr>
    </w:p>
    <w:p w14:paraId="53E6B3B3" w14:textId="5237DCB5" w:rsidR="00CE402E" w:rsidRDefault="00CE402E">
      <w:pPr>
        <w:rPr>
          <w:rFonts w:ascii="Times New Roman" w:hAnsi="Times New Roman" w:cs="Times New Roman"/>
          <w:b/>
          <w:bCs/>
          <w:color w:val="000000" w:themeColor="text1"/>
        </w:rPr>
      </w:pPr>
      <w:r w:rsidRPr="00F31AC6">
        <w:rPr>
          <w:rFonts w:ascii="Times New Roman" w:hAnsi="Times New Roman" w:cs="Times New Roman"/>
          <w:b/>
          <w:bCs/>
          <w:color w:val="000000" w:themeColor="text1"/>
        </w:rPr>
        <w:t>8.</w:t>
      </w:r>
      <w:r w:rsidRPr="00F31AC6">
        <w:rPr>
          <w:rFonts w:ascii="Times New Roman" w:hAnsi="Times New Roman" w:cs="Times New Roman"/>
          <w:color w:val="000000" w:themeColor="text1"/>
        </w:rPr>
        <w:t xml:space="preserve"> </w:t>
      </w:r>
      <w:r w:rsidRPr="00F31AC6">
        <w:rPr>
          <w:rFonts w:ascii="Times New Roman" w:hAnsi="Times New Roman" w:cs="Times New Roman"/>
          <w:b/>
          <w:bCs/>
          <w:color w:val="000000" w:themeColor="text1"/>
        </w:rPr>
        <w:t>D</w:t>
      </w:r>
      <w:r w:rsidR="00C22214">
        <w:rPr>
          <w:rFonts w:ascii="Times New Roman" w:hAnsi="Times New Roman" w:cs="Times New Roman"/>
          <w:b/>
          <w:bCs/>
          <w:color w:val="000000" w:themeColor="text1"/>
        </w:rPr>
        <w:t>uty Station</w:t>
      </w:r>
    </w:p>
    <w:p w14:paraId="76D87254" w14:textId="4F1377F1" w:rsidR="00C575F9" w:rsidRPr="00C575F9" w:rsidRDefault="00C575F9" w:rsidP="00C575F9">
      <w:pPr>
        <w:spacing w:before="100" w:beforeAutospacing="1" w:after="100" w:afterAutospacing="1" w:line="240" w:lineRule="auto"/>
        <w:jc w:val="both"/>
        <w:rPr>
          <w:rFonts w:ascii="Times New Roman" w:hAnsi="Times New Roman" w:cs="Times New Roman"/>
        </w:rPr>
      </w:pPr>
      <w:r w:rsidRPr="00BF3643">
        <w:rPr>
          <w:rFonts w:ascii="Times New Roman" w:eastAsia="Times New Roman" w:hAnsi="Times New Roman" w:cs="Times New Roman"/>
          <w:color w:val="000000" w:themeColor="text1"/>
          <w:kern w:val="0"/>
          <w:sz w:val="22"/>
          <w:szCs w:val="22"/>
          <w14:ligatures w14:val="none"/>
        </w:rPr>
        <w:lastRenderedPageBreak/>
        <w:t xml:space="preserve">The Consultant </w:t>
      </w:r>
      <w:r>
        <w:rPr>
          <w:rFonts w:ascii="Times New Roman" w:eastAsia="Times New Roman" w:hAnsi="Times New Roman" w:cs="Times New Roman"/>
          <w:color w:val="000000" w:themeColor="text1"/>
          <w:kern w:val="0"/>
          <w:sz w:val="22"/>
          <w:szCs w:val="22"/>
          <w14:ligatures w14:val="none"/>
        </w:rPr>
        <w:t xml:space="preserve">will be remote and </w:t>
      </w:r>
      <w:r w:rsidRPr="00BF3643">
        <w:rPr>
          <w:rFonts w:ascii="Times New Roman" w:eastAsia="Times New Roman" w:hAnsi="Times New Roman" w:cs="Times New Roman"/>
          <w:color w:val="000000" w:themeColor="text1"/>
          <w:kern w:val="0"/>
          <w:sz w:val="22"/>
          <w:szCs w:val="22"/>
          <w14:ligatures w14:val="none"/>
        </w:rPr>
        <w:t>shall be based at SDRB’s Headquarters in Mogadishu, Somalia.</w:t>
      </w:r>
    </w:p>
    <w:sectPr w:rsidR="00C575F9" w:rsidRPr="00C575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51D"/>
    <w:multiLevelType w:val="hybridMultilevel"/>
    <w:tmpl w:val="7B226C8C"/>
    <w:lvl w:ilvl="0" w:tplc="9C1695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22C36"/>
    <w:multiLevelType w:val="multilevel"/>
    <w:tmpl w:val="998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B72D8"/>
    <w:multiLevelType w:val="multilevel"/>
    <w:tmpl w:val="3CE2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F77EF"/>
    <w:multiLevelType w:val="hybridMultilevel"/>
    <w:tmpl w:val="A2505C60"/>
    <w:lvl w:ilvl="0" w:tplc="9C1695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80696"/>
    <w:multiLevelType w:val="multilevel"/>
    <w:tmpl w:val="C90A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45026"/>
    <w:multiLevelType w:val="hybridMultilevel"/>
    <w:tmpl w:val="021E9A42"/>
    <w:lvl w:ilvl="0" w:tplc="61A091D8">
      <w:start w:val="1"/>
      <w:numFmt w:val="bullet"/>
      <w:lvlText w:val=""/>
      <w:lvlJc w:val="left"/>
      <w:pPr>
        <w:ind w:left="1080" w:hanging="360"/>
      </w:pPr>
      <w:rPr>
        <w:rFonts w:ascii="Symbol" w:hAnsi="Symbol"/>
      </w:rPr>
    </w:lvl>
    <w:lvl w:ilvl="1" w:tplc="894E1F34">
      <w:start w:val="1"/>
      <w:numFmt w:val="bullet"/>
      <w:lvlText w:val=""/>
      <w:lvlJc w:val="left"/>
      <w:pPr>
        <w:ind w:left="1080" w:hanging="360"/>
      </w:pPr>
      <w:rPr>
        <w:rFonts w:ascii="Symbol" w:hAnsi="Symbol"/>
      </w:rPr>
    </w:lvl>
    <w:lvl w:ilvl="2" w:tplc="80F268B8">
      <w:start w:val="1"/>
      <w:numFmt w:val="bullet"/>
      <w:lvlText w:val=""/>
      <w:lvlJc w:val="left"/>
      <w:pPr>
        <w:ind w:left="1080" w:hanging="360"/>
      </w:pPr>
      <w:rPr>
        <w:rFonts w:ascii="Symbol" w:hAnsi="Symbol"/>
      </w:rPr>
    </w:lvl>
    <w:lvl w:ilvl="3" w:tplc="B9C2D146">
      <w:start w:val="1"/>
      <w:numFmt w:val="bullet"/>
      <w:lvlText w:val=""/>
      <w:lvlJc w:val="left"/>
      <w:pPr>
        <w:ind w:left="1080" w:hanging="360"/>
      </w:pPr>
      <w:rPr>
        <w:rFonts w:ascii="Symbol" w:hAnsi="Symbol"/>
      </w:rPr>
    </w:lvl>
    <w:lvl w:ilvl="4" w:tplc="1406A764">
      <w:start w:val="1"/>
      <w:numFmt w:val="bullet"/>
      <w:lvlText w:val=""/>
      <w:lvlJc w:val="left"/>
      <w:pPr>
        <w:ind w:left="1080" w:hanging="360"/>
      </w:pPr>
      <w:rPr>
        <w:rFonts w:ascii="Symbol" w:hAnsi="Symbol"/>
      </w:rPr>
    </w:lvl>
    <w:lvl w:ilvl="5" w:tplc="16ECBCCE">
      <w:start w:val="1"/>
      <w:numFmt w:val="bullet"/>
      <w:lvlText w:val=""/>
      <w:lvlJc w:val="left"/>
      <w:pPr>
        <w:ind w:left="1080" w:hanging="360"/>
      </w:pPr>
      <w:rPr>
        <w:rFonts w:ascii="Symbol" w:hAnsi="Symbol"/>
      </w:rPr>
    </w:lvl>
    <w:lvl w:ilvl="6" w:tplc="A7A4C514">
      <w:start w:val="1"/>
      <w:numFmt w:val="bullet"/>
      <w:lvlText w:val=""/>
      <w:lvlJc w:val="left"/>
      <w:pPr>
        <w:ind w:left="1080" w:hanging="360"/>
      </w:pPr>
      <w:rPr>
        <w:rFonts w:ascii="Symbol" w:hAnsi="Symbol"/>
      </w:rPr>
    </w:lvl>
    <w:lvl w:ilvl="7" w:tplc="203E76CA">
      <w:start w:val="1"/>
      <w:numFmt w:val="bullet"/>
      <w:lvlText w:val=""/>
      <w:lvlJc w:val="left"/>
      <w:pPr>
        <w:ind w:left="1080" w:hanging="360"/>
      </w:pPr>
      <w:rPr>
        <w:rFonts w:ascii="Symbol" w:hAnsi="Symbol"/>
      </w:rPr>
    </w:lvl>
    <w:lvl w:ilvl="8" w:tplc="B57E28B6">
      <w:start w:val="1"/>
      <w:numFmt w:val="bullet"/>
      <w:lvlText w:val=""/>
      <w:lvlJc w:val="left"/>
      <w:pPr>
        <w:ind w:left="1080" w:hanging="360"/>
      </w:pPr>
      <w:rPr>
        <w:rFonts w:ascii="Symbol" w:hAnsi="Symbol"/>
      </w:rPr>
    </w:lvl>
  </w:abstractNum>
  <w:abstractNum w:abstractNumId="6" w15:restartNumberingAfterBreak="0">
    <w:nsid w:val="24AA3503"/>
    <w:multiLevelType w:val="hybridMultilevel"/>
    <w:tmpl w:val="74FA070A"/>
    <w:lvl w:ilvl="0" w:tplc="9C1695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0539A"/>
    <w:multiLevelType w:val="hybridMultilevel"/>
    <w:tmpl w:val="5E2AE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B5309"/>
    <w:multiLevelType w:val="hybridMultilevel"/>
    <w:tmpl w:val="AC443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C153B"/>
    <w:multiLevelType w:val="hybridMultilevel"/>
    <w:tmpl w:val="4CA6D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F04B1"/>
    <w:multiLevelType w:val="hybridMultilevel"/>
    <w:tmpl w:val="72BAA9FA"/>
    <w:lvl w:ilvl="0" w:tplc="9C1695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D2904"/>
    <w:multiLevelType w:val="hybridMultilevel"/>
    <w:tmpl w:val="4DE0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86C54"/>
    <w:multiLevelType w:val="multilevel"/>
    <w:tmpl w:val="2210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C74379"/>
    <w:multiLevelType w:val="multilevel"/>
    <w:tmpl w:val="6490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4C1"/>
    <w:multiLevelType w:val="hybridMultilevel"/>
    <w:tmpl w:val="7FEC24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DE73223"/>
    <w:multiLevelType w:val="hybridMultilevel"/>
    <w:tmpl w:val="555C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D6052B"/>
    <w:multiLevelType w:val="hybridMultilevel"/>
    <w:tmpl w:val="CF42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71B2A"/>
    <w:multiLevelType w:val="hybridMultilevel"/>
    <w:tmpl w:val="BAAE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984F67"/>
    <w:multiLevelType w:val="hybridMultilevel"/>
    <w:tmpl w:val="BDE8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8906BD"/>
    <w:multiLevelType w:val="multilevel"/>
    <w:tmpl w:val="7EEE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C91BEE"/>
    <w:multiLevelType w:val="multilevel"/>
    <w:tmpl w:val="4AC8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BB4F2C"/>
    <w:multiLevelType w:val="multilevel"/>
    <w:tmpl w:val="383C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AE1CA0"/>
    <w:multiLevelType w:val="hybridMultilevel"/>
    <w:tmpl w:val="BAA6E920"/>
    <w:lvl w:ilvl="0" w:tplc="9C1695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935251">
    <w:abstractNumId w:val="19"/>
  </w:num>
  <w:num w:numId="2" w16cid:durableId="889922664">
    <w:abstractNumId w:val="20"/>
  </w:num>
  <w:num w:numId="3" w16cid:durableId="1468626784">
    <w:abstractNumId w:val="21"/>
  </w:num>
  <w:num w:numId="4" w16cid:durableId="889419666">
    <w:abstractNumId w:val="17"/>
  </w:num>
  <w:num w:numId="5" w16cid:durableId="2002199449">
    <w:abstractNumId w:val="6"/>
  </w:num>
  <w:num w:numId="6" w16cid:durableId="688028029">
    <w:abstractNumId w:val="3"/>
  </w:num>
  <w:num w:numId="7" w16cid:durableId="417218914">
    <w:abstractNumId w:val="0"/>
  </w:num>
  <w:num w:numId="8" w16cid:durableId="1482456444">
    <w:abstractNumId w:val="15"/>
  </w:num>
  <w:num w:numId="9" w16cid:durableId="580674771">
    <w:abstractNumId w:val="10"/>
  </w:num>
  <w:num w:numId="10" w16cid:durableId="447555646">
    <w:abstractNumId w:val="22"/>
  </w:num>
  <w:num w:numId="11" w16cid:durableId="1155299510">
    <w:abstractNumId w:val="11"/>
  </w:num>
  <w:num w:numId="12" w16cid:durableId="1778990018">
    <w:abstractNumId w:val="9"/>
  </w:num>
  <w:num w:numId="13" w16cid:durableId="930968965">
    <w:abstractNumId w:val="8"/>
  </w:num>
  <w:num w:numId="14" w16cid:durableId="875776222">
    <w:abstractNumId w:val="7"/>
  </w:num>
  <w:num w:numId="15" w16cid:durableId="1740441762">
    <w:abstractNumId w:val="14"/>
  </w:num>
  <w:num w:numId="16" w16cid:durableId="185023835">
    <w:abstractNumId w:val="12"/>
  </w:num>
  <w:num w:numId="17" w16cid:durableId="1021123222">
    <w:abstractNumId w:val="4"/>
  </w:num>
  <w:num w:numId="18" w16cid:durableId="1138574720">
    <w:abstractNumId w:val="13"/>
  </w:num>
  <w:num w:numId="19" w16cid:durableId="2097090891">
    <w:abstractNumId w:val="2"/>
  </w:num>
  <w:num w:numId="20" w16cid:durableId="611396703">
    <w:abstractNumId w:val="5"/>
  </w:num>
  <w:num w:numId="21" w16cid:durableId="1962224448">
    <w:abstractNumId w:val="18"/>
  </w:num>
  <w:num w:numId="22" w16cid:durableId="1751585184">
    <w:abstractNumId w:val="16"/>
  </w:num>
  <w:num w:numId="23" w16cid:durableId="1610240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47"/>
    <w:rsid w:val="00044731"/>
    <w:rsid w:val="000C4C9B"/>
    <w:rsid w:val="001160AD"/>
    <w:rsid w:val="00155AF4"/>
    <w:rsid w:val="00230BCB"/>
    <w:rsid w:val="0028073C"/>
    <w:rsid w:val="002A3C82"/>
    <w:rsid w:val="002D12C5"/>
    <w:rsid w:val="003D2B7D"/>
    <w:rsid w:val="004654C3"/>
    <w:rsid w:val="00480BBC"/>
    <w:rsid w:val="00561710"/>
    <w:rsid w:val="005C4BD0"/>
    <w:rsid w:val="00671EAB"/>
    <w:rsid w:val="006752E7"/>
    <w:rsid w:val="006851C7"/>
    <w:rsid w:val="006D3D5D"/>
    <w:rsid w:val="00723D89"/>
    <w:rsid w:val="00724C38"/>
    <w:rsid w:val="007350B6"/>
    <w:rsid w:val="0077656E"/>
    <w:rsid w:val="00776D6B"/>
    <w:rsid w:val="008644CE"/>
    <w:rsid w:val="00870253"/>
    <w:rsid w:val="00875551"/>
    <w:rsid w:val="00951388"/>
    <w:rsid w:val="00986E9E"/>
    <w:rsid w:val="00997B00"/>
    <w:rsid w:val="009C1347"/>
    <w:rsid w:val="00A17196"/>
    <w:rsid w:val="00A75690"/>
    <w:rsid w:val="00AF1D2A"/>
    <w:rsid w:val="00B07AE6"/>
    <w:rsid w:val="00B31E98"/>
    <w:rsid w:val="00B37625"/>
    <w:rsid w:val="00B859EB"/>
    <w:rsid w:val="00BB3609"/>
    <w:rsid w:val="00C155BD"/>
    <w:rsid w:val="00C22214"/>
    <w:rsid w:val="00C575F9"/>
    <w:rsid w:val="00C75E7D"/>
    <w:rsid w:val="00CE402E"/>
    <w:rsid w:val="00D460C2"/>
    <w:rsid w:val="00E323F4"/>
    <w:rsid w:val="00E54D28"/>
    <w:rsid w:val="00F31AC6"/>
    <w:rsid w:val="00F6704D"/>
    <w:rsid w:val="00FC521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6C531"/>
  <w15:chartTrackingRefBased/>
  <w15:docId w15:val="{E47E371F-E60A-274E-A8DC-00888189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1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1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1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1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347"/>
    <w:rPr>
      <w:rFonts w:eastAsiaTheme="majorEastAsia" w:cstheme="majorBidi"/>
      <w:color w:val="272727" w:themeColor="text1" w:themeTint="D8"/>
    </w:rPr>
  </w:style>
  <w:style w:type="paragraph" w:styleId="Title">
    <w:name w:val="Title"/>
    <w:basedOn w:val="Normal"/>
    <w:next w:val="Normal"/>
    <w:link w:val="TitleChar"/>
    <w:uiPriority w:val="10"/>
    <w:qFormat/>
    <w:rsid w:val="009C1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347"/>
    <w:pPr>
      <w:spacing w:before="160"/>
      <w:jc w:val="center"/>
    </w:pPr>
    <w:rPr>
      <w:i/>
      <w:iCs/>
      <w:color w:val="404040" w:themeColor="text1" w:themeTint="BF"/>
    </w:rPr>
  </w:style>
  <w:style w:type="character" w:customStyle="1" w:styleId="QuoteChar">
    <w:name w:val="Quote Char"/>
    <w:basedOn w:val="DefaultParagraphFont"/>
    <w:link w:val="Quote"/>
    <w:uiPriority w:val="29"/>
    <w:rsid w:val="009C1347"/>
    <w:rPr>
      <w:i/>
      <w:iCs/>
      <w:color w:val="404040" w:themeColor="text1" w:themeTint="BF"/>
    </w:rPr>
  </w:style>
  <w:style w:type="paragraph" w:styleId="ListParagraph">
    <w:name w:val="List Paragraph"/>
    <w:aliases w:val="List Paragraph (numbered (a)),Akapit z listą BS,Bullet1,Bullets,Citation List,Ha,List Paragraph1,List_Paragraph,Liste 1,Main numbered paragraph,Multilevel para_II,NUMBERED PARAGRAPH,Numbered List Paragraph,NumberedParas,References,본문(내용)"/>
    <w:basedOn w:val="Normal"/>
    <w:link w:val="ListParagraphChar"/>
    <w:uiPriority w:val="34"/>
    <w:qFormat/>
    <w:rsid w:val="009C1347"/>
    <w:pPr>
      <w:ind w:left="720"/>
      <w:contextualSpacing/>
    </w:pPr>
  </w:style>
  <w:style w:type="character" w:styleId="IntenseEmphasis">
    <w:name w:val="Intense Emphasis"/>
    <w:basedOn w:val="DefaultParagraphFont"/>
    <w:uiPriority w:val="21"/>
    <w:qFormat/>
    <w:rsid w:val="009C1347"/>
    <w:rPr>
      <w:i/>
      <w:iCs/>
      <w:color w:val="0F4761" w:themeColor="accent1" w:themeShade="BF"/>
    </w:rPr>
  </w:style>
  <w:style w:type="paragraph" w:styleId="IntenseQuote">
    <w:name w:val="Intense Quote"/>
    <w:basedOn w:val="Normal"/>
    <w:next w:val="Normal"/>
    <w:link w:val="IntenseQuoteChar"/>
    <w:uiPriority w:val="30"/>
    <w:qFormat/>
    <w:rsid w:val="009C1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347"/>
    <w:rPr>
      <w:i/>
      <w:iCs/>
      <w:color w:val="0F4761" w:themeColor="accent1" w:themeShade="BF"/>
    </w:rPr>
  </w:style>
  <w:style w:type="character" w:styleId="IntenseReference">
    <w:name w:val="Intense Reference"/>
    <w:basedOn w:val="DefaultParagraphFont"/>
    <w:uiPriority w:val="32"/>
    <w:qFormat/>
    <w:rsid w:val="009C1347"/>
    <w:rPr>
      <w:b/>
      <w:bCs/>
      <w:smallCaps/>
      <w:color w:val="0F4761" w:themeColor="accent1" w:themeShade="BF"/>
      <w:spacing w:val="5"/>
    </w:rPr>
  </w:style>
  <w:style w:type="paragraph" w:styleId="NormalWeb">
    <w:name w:val="Normal (Web)"/>
    <w:basedOn w:val="Normal"/>
    <w:uiPriority w:val="99"/>
    <w:unhideWhenUsed/>
    <w:rsid w:val="009C134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C1347"/>
    <w:rPr>
      <w:b/>
      <w:bCs/>
    </w:rPr>
  </w:style>
  <w:style w:type="paragraph" w:customStyle="1" w:styleId="p1">
    <w:name w:val="p1"/>
    <w:basedOn w:val="Normal"/>
    <w:rsid w:val="00F6704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F6704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F6704D"/>
  </w:style>
  <w:style w:type="paragraph" w:styleId="BodyText2">
    <w:name w:val="Body Text 2"/>
    <w:basedOn w:val="Normal"/>
    <w:link w:val="BodyText2Char"/>
    <w:unhideWhenUsed/>
    <w:rsid w:val="00CE402E"/>
    <w:pPr>
      <w:spacing w:after="120" w:line="480" w:lineRule="auto"/>
    </w:pPr>
    <w:rPr>
      <w:rFonts w:ascii="Times New Roman" w:eastAsia="Times New Roman" w:hAnsi="Times New Roman" w:cs="Times New Roman"/>
      <w:kern w:val="0"/>
      <w:lang w:val="en-US"/>
      <w14:ligatures w14:val="none"/>
    </w:rPr>
  </w:style>
  <w:style w:type="character" w:customStyle="1" w:styleId="BodyText2Char">
    <w:name w:val="Body Text 2 Char"/>
    <w:basedOn w:val="DefaultParagraphFont"/>
    <w:link w:val="BodyText2"/>
    <w:rsid w:val="00CE402E"/>
    <w:rPr>
      <w:rFonts w:ascii="Times New Roman" w:eastAsia="Times New Roman" w:hAnsi="Times New Roman" w:cs="Times New Roman"/>
      <w:kern w:val="0"/>
      <w:lang w:val="en-US"/>
      <w14:ligatures w14:val="none"/>
    </w:rPr>
  </w:style>
  <w:style w:type="character" w:customStyle="1" w:styleId="ListParagraphChar">
    <w:name w:val="List Paragraph Char"/>
    <w:aliases w:val="List Paragraph (numbered (a)) Char,Akapit z listą BS Char,Bullet1 Char,Bullets Char,Citation List Char,Ha Char,List Paragraph1 Char,List_Paragraph Char,Liste 1 Char,Main numbered paragraph Char,Multilevel para_II Char,References Char"/>
    <w:link w:val="ListParagraph"/>
    <w:uiPriority w:val="34"/>
    <w:qFormat/>
    <w:locked/>
    <w:rsid w:val="00044731"/>
  </w:style>
  <w:style w:type="table" w:styleId="TableGrid">
    <w:name w:val="Table Grid"/>
    <w:basedOn w:val="TableNormal"/>
    <w:uiPriority w:val="39"/>
    <w:rsid w:val="000447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4BD0"/>
    <w:pPr>
      <w:widowControl w:val="0"/>
      <w:autoSpaceDE w:val="0"/>
      <w:autoSpaceDN w:val="0"/>
      <w:spacing w:after="0" w:line="270" w:lineRule="exact"/>
      <w:ind w:left="112"/>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1659</Words>
  <Characters>11227</Characters>
  <Application>Microsoft Office Word</Application>
  <DocSecurity>0</DocSecurity>
  <Lines>215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Hodan Osman</dc:creator>
  <cp:keywords/>
  <dc:description/>
  <cp:lastModifiedBy>hani ismail</cp:lastModifiedBy>
  <cp:revision>7</cp:revision>
  <dcterms:created xsi:type="dcterms:W3CDTF">2026-04-20T07:55:00Z</dcterms:created>
  <dcterms:modified xsi:type="dcterms:W3CDTF">2026-06-10T13:32:00Z</dcterms:modified>
</cp:coreProperties>
</file>