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23D71F" w14:textId="38DD695A" w:rsidR="00F72D29" w:rsidRPr="00D907DC" w:rsidRDefault="00F72D29" w:rsidP="00F72D29">
      <w:r w:rsidRPr="00D907DC">
        <w:rPr>
          <w:rFonts w:ascii="Calibri" w:eastAsia="Calibri" w:hAnsi="Calibri"/>
          <w:noProof/>
          <w:sz w:val="22"/>
          <w:szCs w:val="22"/>
        </w:rPr>
        <mc:AlternateContent>
          <mc:Choice Requires="wps">
            <w:drawing>
              <wp:anchor distT="0" distB="0" distL="114300" distR="114300" simplePos="0" relativeHeight="251661312" behindDoc="0" locked="0" layoutInCell="1" allowOverlap="1" wp14:anchorId="2DDBFF26" wp14:editId="6BD81DC8">
                <wp:simplePos x="0" y="0"/>
                <wp:positionH relativeFrom="column">
                  <wp:posOffset>3284643</wp:posOffset>
                </wp:positionH>
                <wp:positionV relativeFrom="paragraph">
                  <wp:posOffset>101388</wp:posOffset>
                </wp:positionV>
                <wp:extent cx="2844800" cy="669290"/>
                <wp:effectExtent l="0" t="0" r="0" b="0"/>
                <wp:wrapNone/>
                <wp:docPr id="1799388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44800" cy="669290"/>
                        </a:xfrm>
                        <a:prstGeom prst="rect">
                          <a:avLst/>
                        </a:prstGeom>
                        <a:noFill/>
                        <a:ln>
                          <a:noFill/>
                        </a:ln>
                      </wps:spPr>
                      <wps:txbx>
                        <w:txbxContent>
                          <w:p w14:paraId="063495F0" w14:textId="77777777" w:rsidR="00F72D29" w:rsidRPr="00D64AC0" w:rsidRDefault="00F72D29" w:rsidP="00F72D29">
                            <w:pPr>
                              <w:bidi/>
                              <w:jc w:val="center"/>
                              <w:rPr>
                                <w:b/>
                                <w:bCs/>
                                <w:caps/>
                                <w:color w:val="3366FF"/>
                                <w:sz w:val="46"/>
                                <w:szCs w:val="46"/>
                                <w:rtl/>
                              </w:rPr>
                            </w:pPr>
                            <w:r w:rsidRPr="00D64AC0">
                              <w:rPr>
                                <w:b/>
                                <w:bCs/>
                                <w:caps/>
                                <w:color w:val="3366FF"/>
                                <w:sz w:val="46"/>
                                <w:szCs w:val="46"/>
                                <w:rtl/>
                              </w:rPr>
                              <w:t>البنك المركزي الصومالي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DBFF26" id="_x0000_t202" coordsize="21600,21600" o:spt="202" path="m,l,21600r21600,l21600,xe">
                <v:stroke joinstyle="miter"/>
                <v:path gradientshapeok="t" o:connecttype="rect"/>
              </v:shapetype>
              <v:shape id="Text Box 2" o:spid="_x0000_s1026" type="#_x0000_t202" style="position:absolute;margin-left:258.65pt;margin-top:8pt;width:224pt;height:5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" filled="f" stroked="f">
                <v:textbox>
                  <w:txbxContent>
                    <w:p w14:paraId="063495F0" w14:textId="77777777" w:rsidR="00F72D29" w:rsidRPr="00D64AC0" w:rsidRDefault="00F72D29" w:rsidP="00F72D29">
                      <w:pPr>
                        <w:bidi/>
                        <w:jc w:val="center"/>
                        <w:rPr>
                          <w:b/>
                          <w:bCs/>
                          <w:caps/>
                          <w:color w:val="3366FF"/>
                          <w:sz w:val="46"/>
                          <w:szCs w:val="46"/>
                          <w:rtl/>
                        </w:rPr>
                      </w:pPr>
                      <w:r w:rsidRPr="00D64AC0">
                        <w:rPr>
                          <w:b/>
                          <w:bCs/>
                          <w:caps/>
                          <w:color w:val="3366FF"/>
                          <w:sz w:val="46"/>
                          <w:szCs w:val="46"/>
                          <w:rtl/>
                        </w:rPr>
                        <w:t>البنك المركزي الصومالي</w:t>
                      </w:r>
                    </w:p>
                  </w:txbxContent>
                </v:textbox>
              </v:shape>
            </w:pict>
          </mc:Fallback>
        </mc:AlternateContent>
      </w:r>
      <w:r w:rsidRPr="00D907DC">
        <w:rPr>
          <w:rFonts w:ascii="Calibri" w:eastAsia="Calibri" w:hAnsi="Calibri"/>
          <w:noProof/>
          <w:sz w:val="22"/>
          <w:szCs w:val="22"/>
        </w:rPr>
        <mc:AlternateContent>
          <mc:Choice Requires="wps">
            <w:drawing>
              <wp:anchor distT="0" distB="0" distL="114300" distR="114300" simplePos="0" relativeHeight="251660288" behindDoc="0" locked="0" layoutInCell="1" allowOverlap="1" wp14:anchorId="5CFB7EB6" wp14:editId="3738EC1A">
                <wp:simplePos x="0" y="0"/>
                <wp:positionH relativeFrom="column">
                  <wp:posOffset>-837776</wp:posOffset>
                </wp:positionH>
                <wp:positionV relativeFrom="paragraph">
                  <wp:posOffset>160231</wp:posOffset>
                </wp:positionV>
                <wp:extent cx="3090333" cy="610235"/>
                <wp:effectExtent l="0" t="0" r="0" b="0"/>
                <wp:wrapNone/>
                <wp:docPr id="19428116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90333" cy="610235"/>
                        </a:xfrm>
                        <a:prstGeom prst="rect">
                          <a:avLst/>
                        </a:prstGeom>
                        <a:noFill/>
                        <a:ln>
                          <a:noFill/>
                        </a:ln>
                      </wps:spPr>
                      <wps:txbx>
                        <w:txbxContent>
                          <w:p w14:paraId="12683E47" w14:textId="77777777" w:rsidR="00F72D29" w:rsidRPr="00D64AC0" w:rsidRDefault="00F72D29" w:rsidP="00F72D29">
                            <w:pPr>
                              <w:jc w:val="center"/>
                              <w:rPr>
                                <w:b/>
                                <w:bCs/>
                                <w:caps/>
                                <w:color w:val="3366FF"/>
                                <w:sz w:val="28"/>
                                <w:szCs w:val="28"/>
                              </w:rPr>
                            </w:pPr>
                            <w:r w:rsidRPr="00D64AC0">
                              <w:rPr>
                                <w:b/>
                                <w:bCs/>
                                <w:caps/>
                                <w:color w:val="3366FF"/>
                                <w:sz w:val="28"/>
                                <w:szCs w:val="28"/>
                              </w:rPr>
                              <w:t>bankiga</w:t>
                            </w:r>
                            <w:r>
                              <w:rPr>
                                <w:b/>
                                <w:bCs/>
                                <w:caps/>
                                <w:color w:val="3366FF"/>
                                <w:sz w:val="28"/>
                                <w:szCs w:val="28"/>
                              </w:rPr>
                              <w:t xml:space="preserve"> </w:t>
                            </w:r>
                            <w:r w:rsidRPr="00D64AC0">
                              <w:rPr>
                                <w:b/>
                                <w:bCs/>
                                <w:caps/>
                                <w:color w:val="3366FF"/>
                                <w:sz w:val="28"/>
                                <w:szCs w:val="28"/>
                              </w:rPr>
                              <w:t>dhexe ee soomaaliya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B7EB6" id="Text Box 3" o:spid="_x0000_s1027" type="#_x0000_t202" style="position:absolute;margin-left:-65.95pt;margin-top:12.6pt;width:243.35pt;height:4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" filled="f" stroked="f">
                <v:textbox>
                  <w:txbxContent>
                    <w:p w14:paraId="12683E47" w14:textId="77777777" w:rsidR="00F72D29" w:rsidRPr="00D64AC0" w:rsidRDefault="00F72D29" w:rsidP="00F72D29">
                      <w:pPr>
                        <w:jc w:val="center"/>
                        <w:rPr>
                          <w:b/>
                          <w:bCs/>
                          <w:caps/>
                          <w:color w:val="3366FF"/>
                          <w:sz w:val="28"/>
                          <w:szCs w:val="28"/>
                        </w:rPr>
                      </w:pPr>
                      <w:r w:rsidRPr="00D64AC0">
                        <w:rPr>
                          <w:b/>
                          <w:bCs/>
                          <w:caps/>
                          <w:color w:val="3366FF"/>
                          <w:sz w:val="28"/>
                          <w:szCs w:val="28"/>
                        </w:rPr>
                        <w:t>bankiga</w:t>
                      </w:r>
                      <w:r>
                        <w:rPr>
                          <w:b/>
                          <w:bCs/>
                          <w:caps/>
                          <w:color w:val="3366FF"/>
                          <w:sz w:val="28"/>
                          <w:szCs w:val="28"/>
                        </w:rPr>
                        <w:t xml:space="preserve"> </w:t>
                      </w:r>
                      <w:r w:rsidRPr="00D64AC0">
                        <w:rPr>
                          <w:b/>
                          <w:bCs/>
                          <w:caps/>
                          <w:color w:val="3366FF"/>
                          <w:sz w:val="28"/>
                          <w:szCs w:val="28"/>
                        </w:rPr>
                        <w:t>dhexe ee soomaaliya</w:t>
                      </w:r>
                    </w:p>
                  </w:txbxContent>
                </v:textbox>
              </v:shape>
            </w:pict>
          </mc:Fallback>
        </mc:AlternateContent>
      </w:r>
      <w:r w:rsidR="0055588D" w:rsidRPr="00D907DC">
        <w:tab/>
      </w:r>
      <w:r w:rsidR="0055588D" w:rsidRPr="00D907DC">
        <w:tab/>
      </w:r>
    </w:p>
    <w:p w14:paraId="5C00AB7C" w14:textId="77777777" w:rsidR="00F72D29" w:rsidRPr="00D907DC" w:rsidRDefault="00F72D29" w:rsidP="00F72D29"/>
    <w:p w14:paraId="20BF8B1E" w14:textId="77777777" w:rsidR="00F72D29" w:rsidRPr="00D907DC" w:rsidRDefault="00F72D29" w:rsidP="00F72D29"/>
    <w:p w14:paraId="6F48B3EB" w14:textId="77777777" w:rsidR="00F72D29" w:rsidRPr="00D907DC" w:rsidRDefault="00F72D29" w:rsidP="00F72D29">
      <w:pPr>
        <w:spacing w:line="276" w:lineRule="auto"/>
        <w:jc w:val="both"/>
      </w:pPr>
      <w:r w:rsidRPr="00D907DC">
        <w:rPr>
          <w:rFonts w:eastAsia="Calibri"/>
          <w:noProof/>
        </w:rPr>
        <w:drawing>
          <wp:anchor distT="0" distB="0" distL="114300" distR="114300" simplePos="0" relativeHeight="251662336" behindDoc="1" locked="0" layoutInCell="1" allowOverlap="1" wp14:anchorId="1DC66F13" wp14:editId="609FE645">
            <wp:simplePos x="0" y="0"/>
            <wp:positionH relativeFrom="column">
              <wp:posOffset>2100580</wp:posOffset>
            </wp:positionH>
            <wp:positionV relativeFrom="paragraph">
              <wp:posOffset>-727075</wp:posOffset>
            </wp:positionV>
            <wp:extent cx="1252220" cy="1252220"/>
            <wp:effectExtent l="0" t="0" r="0" b="0"/>
            <wp:wrapNone/>
            <wp:docPr id="3" name="Picture 4" descr="bank-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nk-logo"/>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2220" cy="1252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2B3D26" w14:textId="77777777" w:rsidR="00F72D29" w:rsidRPr="00D907DC" w:rsidRDefault="00F72D29" w:rsidP="00F72D29">
      <w:pPr>
        <w:spacing w:line="276" w:lineRule="auto"/>
        <w:jc w:val="both"/>
      </w:pPr>
    </w:p>
    <w:p w14:paraId="3CD5C188" w14:textId="77777777" w:rsidR="00F72D29" w:rsidRPr="00D907DC" w:rsidRDefault="00F72D29" w:rsidP="00F72D29">
      <w:pPr>
        <w:spacing w:line="276" w:lineRule="auto"/>
        <w:jc w:val="both"/>
      </w:pPr>
      <w:r w:rsidRPr="00D907DC">
        <w:rPr>
          <w:rFonts w:ascii="Calibri" w:eastAsia="Calibri" w:hAnsi="Calibri"/>
          <w:noProof/>
          <w:sz w:val="22"/>
          <w:szCs w:val="22"/>
        </w:rPr>
        <mc:AlternateContent>
          <mc:Choice Requires="wps">
            <w:drawing>
              <wp:anchor distT="0" distB="0" distL="114300" distR="114300" simplePos="0" relativeHeight="251659264" behindDoc="0" locked="0" layoutInCell="1" allowOverlap="1" wp14:anchorId="7151D202" wp14:editId="6AF29AF9">
                <wp:simplePos x="0" y="0"/>
                <wp:positionH relativeFrom="column">
                  <wp:posOffset>1289685</wp:posOffset>
                </wp:positionH>
                <wp:positionV relativeFrom="paragraph">
                  <wp:posOffset>48260</wp:posOffset>
                </wp:positionV>
                <wp:extent cx="2927985" cy="421005"/>
                <wp:effectExtent l="0" t="0" r="0" b="0"/>
                <wp:wrapNone/>
                <wp:docPr id="77176164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27985" cy="421005"/>
                        </a:xfrm>
                        <a:prstGeom prst="rect">
                          <a:avLst/>
                        </a:prstGeom>
                        <a:noFill/>
                        <a:ln>
                          <a:noFill/>
                        </a:ln>
                      </wps:spPr>
                      <wps:txbx>
                        <w:txbxContent>
                          <w:p w14:paraId="147978FC" w14:textId="77777777" w:rsidR="00F72D29" w:rsidRPr="00D64AC0" w:rsidRDefault="00F72D29" w:rsidP="00F72D29">
                            <w:pPr>
                              <w:jc w:val="center"/>
                              <w:rPr>
                                <w:b/>
                                <w:bCs/>
                                <w:caps/>
                                <w:color w:val="3366FF"/>
                                <w:sz w:val="28"/>
                                <w:szCs w:val="28"/>
                              </w:rPr>
                            </w:pPr>
                            <w:r>
                              <w:rPr>
                                <w:b/>
                                <w:bCs/>
                                <w:caps/>
                                <w:color w:val="3366FF"/>
                                <w:sz w:val="28"/>
                                <w:szCs w:val="28"/>
                              </w:rPr>
                              <w:t xml:space="preserve">CENTRAL BANK OF SOMALIA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1D202" id="Text Box 1" o:spid="_x0000_s1028" type="#_x0000_t202" style="position:absolute;left:0;text-align:left;margin-left:101.55pt;margin-top:3.8pt;width:230.55pt;height:3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" filled="f" stroked="f">
                <v:textbox>
                  <w:txbxContent>
                    <w:p w14:paraId="147978FC" w14:textId="77777777" w:rsidR="00F72D29" w:rsidRPr="00D64AC0" w:rsidRDefault="00F72D29" w:rsidP="00F72D29">
                      <w:pPr>
                        <w:jc w:val="center"/>
                        <w:rPr>
                          <w:b/>
                          <w:bCs/>
                          <w:caps/>
                          <w:color w:val="3366FF"/>
                          <w:sz w:val="28"/>
                          <w:szCs w:val="28"/>
                        </w:rPr>
                      </w:pPr>
                      <w:r>
                        <w:rPr>
                          <w:b/>
                          <w:bCs/>
                          <w:caps/>
                          <w:color w:val="3366FF"/>
                          <w:sz w:val="28"/>
                          <w:szCs w:val="28"/>
                        </w:rPr>
                        <w:t xml:space="preserve">CENTRAL BANK OF SOMALIA </w:t>
                      </w:r>
                    </w:p>
                  </w:txbxContent>
                </v:textbox>
              </v:shape>
            </w:pict>
          </mc:Fallback>
        </mc:AlternateContent>
      </w:r>
    </w:p>
    <w:p w14:paraId="6F6E595E" w14:textId="77777777" w:rsidR="00F72D29" w:rsidRPr="00D907DC" w:rsidRDefault="00F72D29" w:rsidP="00F72D29">
      <w:pPr>
        <w:spacing w:line="276" w:lineRule="auto"/>
        <w:jc w:val="both"/>
      </w:pPr>
    </w:p>
    <w:p w14:paraId="7767589E" w14:textId="77777777" w:rsidR="00F72D29" w:rsidRPr="00D907DC" w:rsidRDefault="00F72D29" w:rsidP="00F72D29">
      <w:pPr>
        <w:spacing w:line="276" w:lineRule="auto"/>
        <w:jc w:val="both"/>
      </w:pPr>
    </w:p>
    <w:p w14:paraId="52BF8DC6" w14:textId="77777777" w:rsidR="00F72D29" w:rsidRPr="00D907DC" w:rsidRDefault="00F72D29" w:rsidP="00F72D29">
      <w:pPr>
        <w:jc w:val="center"/>
        <w:rPr>
          <w:rFonts w:ascii="Times" w:hAnsi="Times"/>
          <w:b/>
        </w:rPr>
      </w:pPr>
      <w:r w:rsidRPr="00D907DC">
        <w:rPr>
          <w:rFonts w:ascii="Times" w:hAnsi="Times"/>
          <w:b/>
        </w:rPr>
        <w:t>Terms of Reference for Financial Sector Expert</w:t>
      </w:r>
    </w:p>
    <w:p w14:paraId="19AEBFD2" w14:textId="77777777" w:rsidR="00F72D29" w:rsidRPr="00D907DC" w:rsidRDefault="00F72D29" w:rsidP="00F72D29">
      <w:pPr>
        <w:jc w:val="center"/>
        <w:rPr>
          <w:rFonts w:ascii="Times" w:hAnsi="Times"/>
          <w:b/>
        </w:rPr>
      </w:pPr>
    </w:p>
    <w:tbl>
      <w:tblPr>
        <w:tblpPr w:leftFromText="180" w:rightFromText="180" w:vertAnchor="text" w:horzAnchor="margin" w:tblpXSpec="center" w:tblpY="193"/>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7380"/>
      </w:tblGrid>
      <w:tr w:rsidR="00F72D29" w:rsidRPr="00D907DC" w14:paraId="38B49105" w14:textId="77777777" w:rsidTr="00974B40">
        <w:trPr>
          <w:trHeight w:val="422"/>
        </w:trPr>
        <w:tc>
          <w:tcPr>
            <w:tcW w:w="10440" w:type="dxa"/>
            <w:gridSpan w:val="2"/>
            <w:shd w:val="clear" w:color="auto" w:fill="9CC2E5"/>
          </w:tcPr>
          <w:p w14:paraId="60019B6D" w14:textId="77777777" w:rsidR="00F72D29" w:rsidRPr="00D907DC" w:rsidRDefault="00F72D29" w:rsidP="00974B40">
            <w:pPr>
              <w:jc w:val="both"/>
              <w:rPr>
                <w:b/>
              </w:rPr>
            </w:pPr>
            <w:r w:rsidRPr="00D907DC">
              <w:rPr>
                <w:b/>
              </w:rPr>
              <w:t>Job Description</w:t>
            </w:r>
          </w:p>
        </w:tc>
      </w:tr>
      <w:tr w:rsidR="00F72D29" w:rsidRPr="00D907DC" w14:paraId="1CB8E614" w14:textId="77777777" w:rsidTr="00974B40">
        <w:trPr>
          <w:trHeight w:val="458"/>
        </w:trPr>
        <w:tc>
          <w:tcPr>
            <w:tcW w:w="3060" w:type="dxa"/>
            <w:shd w:val="clear" w:color="auto" w:fill="D9D9D9" w:themeFill="background1" w:themeFillShade="D9"/>
          </w:tcPr>
          <w:p w14:paraId="022C404A" w14:textId="77777777" w:rsidR="00F72D29" w:rsidRPr="00D907DC" w:rsidRDefault="00F72D29" w:rsidP="00974B40">
            <w:pPr>
              <w:jc w:val="both"/>
              <w:rPr>
                <w:b/>
              </w:rPr>
            </w:pPr>
            <w:r w:rsidRPr="00D907DC">
              <w:rPr>
                <w:b/>
              </w:rPr>
              <w:t>Position Title:</w:t>
            </w:r>
          </w:p>
        </w:tc>
        <w:tc>
          <w:tcPr>
            <w:tcW w:w="7380" w:type="dxa"/>
            <w:shd w:val="clear" w:color="auto" w:fill="auto"/>
          </w:tcPr>
          <w:p w14:paraId="76AB17B1" w14:textId="77777777" w:rsidR="00F72D29" w:rsidRPr="00D907DC" w:rsidRDefault="00F72D29" w:rsidP="00974B40">
            <w:pPr>
              <w:contextualSpacing/>
              <w:jc w:val="both"/>
              <w:rPr>
                <w:rFonts w:ascii="Times" w:hAnsi="Times"/>
                <w:color w:val="000000"/>
              </w:rPr>
            </w:pPr>
            <w:r w:rsidRPr="00D907DC">
              <w:rPr>
                <w:rFonts w:ascii="Times" w:hAnsi="Times"/>
                <w:color w:val="000000"/>
              </w:rPr>
              <w:t xml:space="preserve">Financial Sector Expert </w:t>
            </w:r>
          </w:p>
        </w:tc>
      </w:tr>
      <w:tr w:rsidR="00F72D29" w:rsidRPr="00D907DC" w14:paraId="352FEDF7" w14:textId="77777777" w:rsidTr="00974B40">
        <w:trPr>
          <w:trHeight w:val="350"/>
        </w:trPr>
        <w:tc>
          <w:tcPr>
            <w:tcW w:w="3060" w:type="dxa"/>
            <w:shd w:val="clear" w:color="auto" w:fill="D9D9D9" w:themeFill="background1" w:themeFillShade="D9"/>
          </w:tcPr>
          <w:p w14:paraId="7C5F52B9" w14:textId="77777777" w:rsidR="00F72D29" w:rsidRPr="00D907DC" w:rsidRDefault="00F72D29" w:rsidP="00974B40">
            <w:pPr>
              <w:jc w:val="both"/>
              <w:rPr>
                <w:b/>
              </w:rPr>
            </w:pPr>
            <w:r w:rsidRPr="00D907DC">
              <w:rPr>
                <w:b/>
              </w:rPr>
              <w:t>Reports to:</w:t>
            </w:r>
          </w:p>
        </w:tc>
        <w:tc>
          <w:tcPr>
            <w:tcW w:w="7380" w:type="dxa"/>
            <w:shd w:val="clear" w:color="auto" w:fill="auto"/>
          </w:tcPr>
          <w:p w14:paraId="6FF56BA8" w14:textId="61A65CDF" w:rsidR="00F72D29" w:rsidRPr="00D907DC" w:rsidRDefault="00D00968" w:rsidP="00974B40">
            <w:pPr>
              <w:jc w:val="both"/>
            </w:pPr>
            <w:r w:rsidRPr="00D907DC">
              <w:rPr>
                <w:color w:val="000000"/>
                <w:shd w:val="clear" w:color="auto" w:fill="FFFFFF"/>
              </w:rPr>
              <w:t>Executive Director: Monetary, Financial and Regulatory Policy Group</w:t>
            </w:r>
          </w:p>
        </w:tc>
      </w:tr>
      <w:tr w:rsidR="00F72D29" w:rsidRPr="00D907DC" w14:paraId="08F830C0" w14:textId="77777777" w:rsidTr="00974B40">
        <w:trPr>
          <w:trHeight w:val="368"/>
        </w:trPr>
        <w:tc>
          <w:tcPr>
            <w:tcW w:w="3060" w:type="dxa"/>
            <w:shd w:val="clear" w:color="auto" w:fill="D9D9D9" w:themeFill="background1" w:themeFillShade="D9"/>
          </w:tcPr>
          <w:p w14:paraId="0AC8DFCB" w14:textId="77777777" w:rsidR="00F72D29" w:rsidRPr="00D907DC" w:rsidRDefault="00F72D29" w:rsidP="00974B40">
            <w:pPr>
              <w:jc w:val="both"/>
              <w:rPr>
                <w:b/>
              </w:rPr>
            </w:pPr>
            <w:r w:rsidRPr="00D907DC">
              <w:rPr>
                <w:b/>
              </w:rPr>
              <w:t>Duty Station:</w:t>
            </w:r>
          </w:p>
        </w:tc>
        <w:tc>
          <w:tcPr>
            <w:tcW w:w="7380" w:type="dxa"/>
            <w:shd w:val="clear" w:color="auto" w:fill="auto"/>
          </w:tcPr>
          <w:p w14:paraId="573E3806" w14:textId="77777777" w:rsidR="00F72D29" w:rsidRPr="00D907DC" w:rsidRDefault="00F72D29" w:rsidP="00974B40">
            <w:pPr>
              <w:jc w:val="both"/>
            </w:pPr>
            <w:r w:rsidRPr="00D907DC">
              <w:rPr>
                <w:rStyle w:val="SubtleEmphasis"/>
              </w:rPr>
              <w:t>Central Bank of Somalia Headquarters, Mogadishu</w:t>
            </w:r>
          </w:p>
        </w:tc>
      </w:tr>
      <w:tr w:rsidR="00F72D29" w:rsidRPr="00D907DC" w14:paraId="1E47FE9D" w14:textId="77777777" w:rsidTr="00974B40">
        <w:trPr>
          <w:trHeight w:val="368"/>
        </w:trPr>
        <w:tc>
          <w:tcPr>
            <w:tcW w:w="3060" w:type="dxa"/>
            <w:shd w:val="clear" w:color="auto" w:fill="D9D9D9" w:themeFill="background1" w:themeFillShade="D9"/>
          </w:tcPr>
          <w:p w14:paraId="3472DED0" w14:textId="77777777" w:rsidR="00F72D29" w:rsidRPr="00D907DC" w:rsidRDefault="00F72D29" w:rsidP="00974B40">
            <w:pPr>
              <w:jc w:val="both"/>
              <w:rPr>
                <w:b/>
              </w:rPr>
            </w:pPr>
            <w:r w:rsidRPr="00D907DC">
              <w:rPr>
                <w:b/>
              </w:rPr>
              <w:t>Name of the Project</w:t>
            </w:r>
          </w:p>
        </w:tc>
        <w:tc>
          <w:tcPr>
            <w:tcW w:w="7380" w:type="dxa"/>
            <w:shd w:val="clear" w:color="auto" w:fill="auto"/>
          </w:tcPr>
          <w:p w14:paraId="35DA99B8" w14:textId="77777777" w:rsidR="00F72D29" w:rsidRPr="00D907DC" w:rsidRDefault="00F72D29" w:rsidP="00974B40">
            <w:pPr>
              <w:jc w:val="both"/>
              <w:rPr>
                <w:rStyle w:val="SubtleEmphasis"/>
                <w:i w:val="0"/>
                <w:iCs w:val="0"/>
              </w:rPr>
            </w:pPr>
            <w:r w:rsidRPr="00D907DC">
              <w:rPr>
                <w:rStyle w:val="SubtleEmphasis"/>
              </w:rPr>
              <w:t>Somalia Capacity Advancement, Livelihood and Entrepreneurship, through Digital Uplift Project (SCALED-UP)</w:t>
            </w:r>
          </w:p>
        </w:tc>
      </w:tr>
      <w:tr w:rsidR="00F72D29" w:rsidRPr="00D907DC" w14:paraId="3EEA23B4" w14:textId="77777777" w:rsidTr="00974B40">
        <w:trPr>
          <w:trHeight w:val="368"/>
        </w:trPr>
        <w:tc>
          <w:tcPr>
            <w:tcW w:w="3060" w:type="dxa"/>
            <w:shd w:val="clear" w:color="auto" w:fill="D9D9D9" w:themeFill="background1" w:themeFillShade="D9"/>
          </w:tcPr>
          <w:p w14:paraId="4AFF8D8C" w14:textId="77777777" w:rsidR="00F72D29" w:rsidRPr="00D907DC" w:rsidRDefault="00F72D29" w:rsidP="00974B40">
            <w:pPr>
              <w:jc w:val="both"/>
              <w:rPr>
                <w:b/>
              </w:rPr>
            </w:pPr>
            <w:r w:rsidRPr="00D907DC">
              <w:rPr>
                <w:b/>
              </w:rPr>
              <w:t>Project ID</w:t>
            </w:r>
          </w:p>
        </w:tc>
        <w:tc>
          <w:tcPr>
            <w:tcW w:w="7380" w:type="dxa"/>
            <w:shd w:val="clear" w:color="auto" w:fill="auto"/>
          </w:tcPr>
          <w:p w14:paraId="48E61CC2" w14:textId="77777777" w:rsidR="00F72D29" w:rsidRPr="00D907DC" w:rsidRDefault="00F72D29" w:rsidP="00974B40">
            <w:pPr>
              <w:jc w:val="both"/>
              <w:rPr>
                <w:rStyle w:val="SubtleEmphasis"/>
                <w:i w:val="0"/>
                <w:iCs w:val="0"/>
              </w:rPr>
            </w:pPr>
            <w:r w:rsidRPr="00D907DC">
              <w:rPr>
                <w:rStyle w:val="SubtleEmphasis"/>
              </w:rPr>
              <w:t>P168115</w:t>
            </w:r>
          </w:p>
        </w:tc>
      </w:tr>
      <w:tr w:rsidR="00F72D29" w:rsidRPr="00D907DC" w14:paraId="3FD19C01" w14:textId="77777777" w:rsidTr="00974B40">
        <w:trPr>
          <w:trHeight w:val="368"/>
        </w:trPr>
        <w:tc>
          <w:tcPr>
            <w:tcW w:w="3060" w:type="dxa"/>
            <w:shd w:val="clear" w:color="auto" w:fill="D9D9D9" w:themeFill="background1" w:themeFillShade="D9"/>
          </w:tcPr>
          <w:p w14:paraId="37689971" w14:textId="77777777" w:rsidR="00F72D29" w:rsidRPr="00D907DC" w:rsidRDefault="00F72D29" w:rsidP="00974B40">
            <w:pPr>
              <w:jc w:val="both"/>
              <w:rPr>
                <w:b/>
              </w:rPr>
            </w:pPr>
            <w:r w:rsidRPr="00D907DC">
              <w:rPr>
                <w:b/>
              </w:rPr>
              <w:t>Type of Appointment</w:t>
            </w:r>
          </w:p>
        </w:tc>
        <w:tc>
          <w:tcPr>
            <w:tcW w:w="7380" w:type="dxa"/>
            <w:shd w:val="clear" w:color="auto" w:fill="auto"/>
          </w:tcPr>
          <w:p w14:paraId="42D350DA" w14:textId="77777777" w:rsidR="00F72D29" w:rsidRPr="00D907DC" w:rsidRDefault="00F72D29" w:rsidP="00974B40">
            <w:pPr>
              <w:jc w:val="both"/>
              <w:rPr>
                <w:rStyle w:val="SubtleEmphasis"/>
                <w:i w:val="0"/>
                <w:iCs w:val="0"/>
              </w:rPr>
            </w:pPr>
            <w:r w:rsidRPr="00D907DC">
              <w:rPr>
                <w:rStyle w:val="SubtleEmphasis"/>
              </w:rPr>
              <w:t>Individual Consultant</w:t>
            </w:r>
          </w:p>
        </w:tc>
      </w:tr>
      <w:tr w:rsidR="00F72D29" w:rsidRPr="00D907DC" w14:paraId="46D84FA2" w14:textId="77777777" w:rsidTr="00974B40">
        <w:trPr>
          <w:trHeight w:val="368"/>
        </w:trPr>
        <w:tc>
          <w:tcPr>
            <w:tcW w:w="3060" w:type="dxa"/>
            <w:shd w:val="clear" w:color="auto" w:fill="D9D9D9" w:themeFill="background1" w:themeFillShade="D9"/>
          </w:tcPr>
          <w:p w14:paraId="675A9FE9" w14:textId="77777777" w:rsidR="00F72D29" w:rsidRPr="00D907DC" w:rsidRDefault="00F72D29" w:rsidP="00974B40">
            <w:pPr>
              <w:jc w:val="both"/>
              <w:rPr>
                <w:b/>
              </w:rPr>
            </w:pPr>
            <w:r w:rsidRPr="00D907DC">
              <w:rPr>
                <w:b/>
              </w:rPr>
              <w:t>Duration</w:t>
            </w:r>
          </w:p>
        </w:tc>
        <w:tc>
          <w:tcPr>
            <w:tcW w:w="7380" w:type="dxa"/>
            <w:shd w:val="clear" w:color="auto" w:fill="auto"/>
          </w:tcPr>
          <w:p w14:paraId="1AB5ADC6" w14:textId="77777777" w:rsidR="00F72D29" w:rsidRPr="00D907DC" w:rsidRDefault="00F72D29" w:rsidP="00974B40">
            <w:pPr>
              <w:jc w:val="both"/>
              <w:rPr>
                <w:rStyle w:val="SubtleEmphasis"/>
                <w:i w:val="0"/>
                <w:iCs w:val="0"/>
              </w:rPr>
            </w:pPr>
            <w:r w:rsidRPr="00D907DC">
              <w:rPr>
                <w:rFonts w:ascii="Times" w:hAnsi="Times"/>
                <w:color w:val="000000"/>
              </w:rPr>
              <w:t>12 months renewable upon satisfactory performance</w:t>
            </w:r>
          </w:p>
        </w:tc>
      </w:tr>
    </w:tbl>
    <w:p w14:paraId="6140D106" w14:textId="77777777" w:rsidR="00E57617" w:rsidRPr="00D907DC" w:rsidRDefault="00E57617" w:rsidP="00E57617">
      <w:pPr>
        <w:jc w:val="both"/>
        <w:rPr>
          <w:rFonts w:ascii="Times" w:hAnsi="Times"/>
          <w:b/>
          <w:lang w:val="en-GB"/>
        </w:rPr>
      </w:pPr>
    </w:p>
    <w:p w14:paraId="3E19D8A3" w14:textId="3BF5D6DE" w:rsidR="00F72D29" w:rsidRPr="00D907DC" w:rsidRDefault="00F72D29" w:rsidP="00E57617">
      <w:pPr>
        <w:jc w:val="both"/>
        <w:rPr>
          <w:rFonts w:ascii="Times" w:hAnsi="Times" w:cs="Times"/>
          <w:b/>
          <w:lang w:val="en-GB"/>
        </w:rPr>
      </w:pPr>
      <w:r w:rsidRPr="00D907DC">
        <w:rPr>
          <w:rFonts w:ascii="Times" w:hAnsi="Times" w:cs="Times"/>
          <w:b/>
          <w:lang w:val="en-GB"/>
        </w:rPr>
        <w:t>Project Background</w:t>
      </w:r>
    </w:p>
    <w:p w14:paraId="7FD47FDF" w14:textId="4A47EFBA" w:rsidR="00457D77" w:rsidRPr="00D907DC" w:rsidRDefault="00457D77" w:rsidP="00E877C5">
      <w:pPr>
        <w:pStyle w:val="NormalWeb"/>
        <w:jc w:val="both"/>
      </w:pPr>
      <w:r w:rsidRPr="00D907DC">
        <w:rPr>
          <w:rFonts w:ascii="Times" w:hAnsi="Times" w:cs="Times"/>
        </w:rPr>
        <w:t xml:space="preserve">The Federal Republic of Somalia has received financing from the World Bank for the Somalia Capacity Advancement, Livelihood, and Entrepreneurship through Digital Uplift (SCALED-UP) </w:t>
      </w:r>
      <w:r w:rsidR="002B5D91">
        <w:rPr>
          <w:rFonts w:ascii="Times" w:hAnsi="Times" w:cs="Times"/>
        </w:rPr>
        <w:t>P</w:t>
      </w:r>
      <w:r w:rsidRPr="00D907DC">
        <w:rPr>
          <w:rFonts w:ascii="Times" w:hAnsi="Times" w:cs="Times"/>
        </w:rPr>
        <w:t xml:space="preserve">roject. A portion of these funds is designated for the hiring of a </w:t>
      </w:r>
      <w:r w:rsidRPr="00D907DC">
        <w:rPr>
          <w:rStyle w:val="Strong"/>
          <w:rFonts w:ascii="Times" w:eastAsiaTheme="majorEastAsia" w:hAnsi="Times" w:cs="Times"/>
        </w:rPr>
        <w:t>Financial Sector Expert</w:t>
      </w:r>
      <w:r w:rsidRPr="00D907DC">
        <w:rPr>
          <w:rFonts w:ascii="Times" w:hAnsi="Times" w:cs="Times"/>
        </w:rPr>
        <w:t xml:space="preserve"> for the Central Bank of Somalia. Implemented by the Federal Government of Somalia, this project aims to enhance access to digital financial services and government services, with a particular focus on entrepreneurship and employment opportunities for women.</w:t>
      </w:r>
    </w:p>
    <w:p w14:paraId="46F63CAA" w14:textId="04BCF735" w:rsidR="00F72D29" w:rsidRPr="00D907DC" w:rsidRDefault="00F9211A" w:rsidP="00E57617">
      <w:pPr>
        <w:jc w:val="both"/>
        <w:rPr>
          <w:rFonts w:ascii="Times" w:hAnsi="Times" w:cs="Times"/>
        </w:rPr>
      </w:pPr>
      <w:r w:rsidRPr="00D907DC">
        <w:rPr>
          <w:rFonts w:ascii="Times" w:hAnsi="Times" w:cs="Times"/>
          <w:b/>
        </w:rPr>
        <w:t>Role</w:t>
      </w:r>
    </w:p>
    <w:p w14:paraId="303E5B85" w14:textId="2484D8AC" w:rsidR="00457D77" w:rsidRPr="00D907DC" w:rsidRDefault="00457D77" w:rsidP="00E57617">
      <w:pPr>
        <w:pStyle w:val="NormalWeb"/>
        <w:jc w:val="both"/>
        <w:rPr>
          <w:rFonts w:ascii="Times" w:hAnsi="Times" w:cs="Times"/>
        </w:rPr>
      </w:pPr>
      <w:r w:rsidRPr="00D907DC">
        <w:rPr>
          <w:rFonts w:ascii="Times" w:hAnsi="Times" w:cs="Times"/>
        </w:rPr>
        <w:t xml:space="preserve">The Financial Sector Expert is tasked with supporting the Central Bank of Somalia (CBS) in strengthening financial sector reforms and coordinating financial sector development efforts, both within CBS and with external stakeholders. This role is critical in shaping new CBS initiatives. Reporting to the Executive Director (Monetary, Financial &amp; Regulatory Policy Group), the Financial Sector Expert will provide daily coordination and </w:t>
      </w:r>
      <w:r w:rsidR="00FF23EF" w:rsidRPr="00D907DC">
        <w:rPr>
          <w:rFonts w:ascii="Times" w:hAnsi="Times" w:cs="Times"/>
        </w:rPr>
        <w:t>technical</w:t>
      </w:r>
      <w:r w:rsidRPr="00D907DC">
        <w:rPr>
          <w:rFonts w:ascii="Times" w:hAnsi="Times" w:cs="Times"/>
        </w:rPr>
        <w:t xml:space="preserve"> support for all financial sector development activities, thereby assisting CBS in the development and execution of the Federal Government of Somalia’s financial sector development strategy and action plan.</w:t>
      </w:r>
    </w:p>
    <w:p w14:paraId="6349C612" w14:textId="77777777" w:rsidR="00457D77" w:rsidRPr="00D907DC" w:rsidRDefault="00457D77" w:rsidP="00E57617">
      <w:pPr>
        <w:pStyle w:val="Heading3"/>
        <w:jc w:val="both"/>
        <w:rPr>
          <w:rFonts w:ascii="Times" w:hAnsi="Times" w:cs="Times"/>
          <w:b/>
          <w:bCs/>
          <w:color w:val="auto"/>
          <w:sz w:val="24"/>
          <w:szCs w:val="24"/>
        </w:rPr>
      </w:pPr>
      <w:r w:rsidRPr="00D907DC">
        <w:rPr>
          <w:rFonts w:ascii="Times" w:hAnsi="Times" w:cs="Times"/>
          <w:b/>
          <w:bCs/>
          <w:color w:val="auto"/>
          <w:sz w:val="24"/>
          <w:szCs w:val="24"/>
        </w:rPr>
        <w:lastRenderedPageBreak/>
        <w:t>Primary Responsibilities</w:t>
      </w:r>
    </w:p>
    <w:p w14:paraId="204088B1" w14:textId="1E3F619B" w:rsidR="00457D77" w:rsidRPr="00D907DC" w:rsidRDefault="00457D77" w:rsidP="00E57617">
      <w:pPr>
        <w:pStyle w:val="NormalWeb"/>
        <w:jc w:val="both"/>
        <w:rPr>
          <w:rFonts w:ascii="Times" w:hAnsi="Times" w:cs="Times"/>
        </w:rPr>
      </w:pPr>
      <w:r w:rsidRPr="00D907DC">
        <w:rPr>
          <w:rFonts w:ascii="Times" w:hAnsi="Times" w:cs="Times"/>
        </w:rPr>
        <w:t xml:space="preserve">The Financial Sector Expert will support </w:t>
      </w:r>
      <w:r w:rsidR="007826FF" w:rsidRPr="00D907DC">
        <w:rPr>
          <w:rFonts w:ascii="Times" w:hAnsi="Times" w:cs="Times"/>
        </w:rPr>
        <w:t xml:space="preserve">the strengthening the regulatory and supervision of the financial sector, </w:t>
      </w:r>
      <w:r w:rsidR="002B5D91">
        <w:rPr>
          <w:rFonts w:ascii="Times" w:hAnsi="Times" w:cs="Times"/>
        </w:rPr>
        <w:t xml:space="preserve">specifically </w:t>
      </w:r>
      <w:r w:rsidR="007826FF" w:rsidRPr="00D907DC">
        <w:rPr>
          <w:rFonts w:ascii="Times" w:hAnsi="Times" w:cs="Times"/>
        </w:rPr>
        <w:t>the banking and non-banking division</w:t>
      </w:r>
      <w:r w:rsidR="002B5D91">
        <w:rPr>
          <w:rFonts w:ascii="Times" w:hAnsi="Times" w:cs="Times"/>
        </w:rPr>
        <w:t>s</w:t>
      </w:r>
      <w:r w:rsidR="005A2852">
        <w:rPr>
          <w:rFonts w:ascii="Times" w:hAnsi="Times" w:cs="Times"/>
        </w:rPr>
        <w:t xml:space="preserve"> (</w:t>
      </w:r>
      <w:proofErr w:type="gramStart"/>
      <w:r w:rsidR="002B5D91">
        <w:rPr>
          <w:rFonts w:ascii="Times" w:hAnsi="Times" w:cs="Times"/>
        </w:rPr>
        <w:t>with the exception of</w:t>
      </w:r>
      <w:proofErr w:type="gramEnd"/>
      <w:r w:rsidR="002B5D91">
        <w:rPr>
          <w:rFonts w:ascii="Times" w:hAnsi="Times" w:cs="Times"/>
        </w:rPr>
        <w:t xml:space="preserve"> Takaful</w:t>
      </w:r>
      <w:r w:rsidR="005A2852">
        <w:rPr>
          <w:rFonts w:ascii="Times" w:hAnsi="Times" w:cs="Times"/>
        </w:rPr>
        <w:t>)</w:t>
      </w:r>
      <w:r w:rsidR="002B5D91">
        <w:rPr>
          <w:rFonts w:ascii="Times" w:hAnsi="Times" w:cs="Times"/>
        </w:rPr>
        <w:t>.</w:t>
      </w:r>
      <w:r w:rsidRPr="00D907DC">
        <w:rPr>
          <w:rFonts w:ascii="Times" w:hAnsi="Times" w:cs="Times"/>
        </w:rPr>
        <w:t xml:space="preserve"> </w:t>
      </w:r>
      <w:r w:rsidR="002B5D91">
        <w:rPr>
          <w:rFonts w:ascii="Times" w:hAnsi="Times" w:cs="Times"/>
        </w:rPr>
        <w:t xml:space="preserve">The expert will also </w:t>
      </w:r>
      <w:r w:rsidRPr="00D907DC">
        <w:rPr>
          <w:rFonts w:ascii="Times" w:hAnsi="Times" w:cs="Times"/>
        </w:rPr>
        <w:t xml:space="preserve">facilitate prospect research and </w:t>
      </w:r>
      <w:r w:rsidR="007826FF" w:rsidRPr="00D907DC">
        <w:rPr>
          <w:rFonts w:ascii="Times" w:hAnsi="Times" w:cs="Times"/>
        </w:rPr>
        <w:t xml:space="preserve">capacity building </w:t>
      </w:r>
      <w:r w:rsidR="002B5D91">
        <w:rPr>
          <w:rFonts w:ascii="Times" w:hAnsi="Times" w:cs="Times"/>
        </w:rPr>
        <w:t>for the</w:t>
      </w:r>
      <w:r w:rsidR="002B5D91" w:rsidRPr="00D907DC">
        <w:rPr>
          <w:rFonts w:ascii="Times" w:hAnsi="Times" w:cs="Times"/>
        </w:rPr>
        <w:t xml:space="preserve"> </w:t>
      </w:r>
      <w:r w:rsidR="007826FF" w:rsidRPr="00D907DC">
        <w:rPr>
          <w:rFonts w:ascii="Times" w:hAnsi="Times" w:cs="Times"/>
        </w:rPr>
        <w:t>CBS and financial institutions</w:t>
      </w:r>
      <w:r w:rsidRPr="00D907DC">
        <w:rPr>
          <w:rFonts w:ascii="Times" w:hAnsi="Times" w:cs="Times"/>
        </w:rPr>
        <w:t xml:space="preserve">. These activities are essential to ensure that financial sector development efforts are well-aligned </w:t>
      </w:r>
      <w:r w:rsidR="007826FF" w:rsidRPr="00D907DC">
        <w:rPr>
          <w:rFonts w:ascii="Times" w:hAnsi="Times" w:cs="Times"/>
        </w:rPr>
        <w:t>with the CBS strategy</w:t>
      </w:r>
      <w:r w:rsidR="00D70DD1" w:rsidRPr="00D907DC">
        <w:rPr>
          <w:rFonts w:ascii="Times" w:hAnsi="Times" w:cs="Times"/>
        </w:rPr>
        <w:t xml:space="preserve"> and contribute the development of the financial sector development roadmap for CBS</w:t>
      </w:r>
      <w:r w:rsidRPr="00D907DC">
        <w:rPr>
          <w:rFonts w:ascii="Times" w:hAnsi="Times" w:cs="Times"/>
        </w:rPr>
        <w:t xml:space="preserve">. Furthermore, the Financial Sector Expert will help </w:t>
      </w:r>
      <w:r w:rsidR="00411B69" w:rsidRPr="00D907DC">
        <w:rPr>
          <w:rFonts w:ascii="Times" w:hAnsi="Times" w:cs="Times"/>
        </w:rPr>
        <w:t>support</w:t>
      </w:r>
      <w:r w:rsidRPr="00D907DC">
        <w:rPr>
          <w:rFonts w:ascii="Times" w:hAnsi="Times" w:cs="Times"/>
        </w:rPr>
        <w:t xml:space="preserve"> regional engagements necessary to advance financial sector development within Somali</w:t>
      </w:r>
      <w:r w:rsidR="00E57617" w:rsidRPr="00D907DC">
        <w:rPr>
          <w:rFonts w:ascii="Times" w:hAnsi="Times" w:cs="Times"/>
        </w:rPr>
        <w:t>a.</w:t>
      </w:r>
    </w:p>
    <w:p w14:paraId="66C8B435" w14:textId="77777777" w:rsidR="00457D77" w:rsidRPr="00D907DC" w:rsidRDefault="00457D77" w:rsidP="00E57617">
      <w:pPr>
        <w:pStyle w:val="Heading3"/>
        <w:jc w:val="both"/>
        <w:rPr>
          <w:rFonts w:ascii="Times" w:hAnsi="Times" w:cs="Times"/>
          <w:b/>
          <w:bCs/>
          <w:color w:val="auto"/>
          <w:sz w:val="24"/>
          <w:szCs w:val="24"/>
        </w:rPr>
      </w:pPr>
      <w:r w:rsidRPr="00D907DC">
        <w:rPr>
          <w:rFonts w:ascii="Times" w:hAnsi="Times" w:cs="Times"/>
          <w:b/>
          <w:bCs/>
          <w:color w:val="auto"/>
          <w:sz w:val="24"/>
          <w:szCs w:val="24"/>
        </w:rPr>
        <w:t>General Description</w:t>
      </w:r>
    </w:p>
    <w:p w14:paraId="3CB64127" w14:textId="77777777" w:rsidR="00457D77" w:rsidRPr="00D907DC" w:rsidRDefault="00457D77" w:rsidP="00E57617">
      <w:pPr>
        <w:pStyle w:val="NormalWeb"/>
        <w:jc w:val="both"/>
        <w:rPr>
          <w:rFonts w:ascii="Times" w:hAnsi="Times" w:cs="Times"/>
        </w:rPr>
      </w:pPr>
      <w:r w:rsidRPr="00D907DC">
        <w:rPr>
          <w:rFonts w:ascii="Times" w:hAnsi="Times" w:cs="Times"/>
        </w:rPr>
        <w:t>The Financial Sector Expert plays a pivotal role in helping the CBS achieve its financial stability goals by providing comprehensive diagnostic analysis of the existing prudential and regulatory frameworks. This role includes monitoring the safety and soundness of domestic banks, non-bank financial institutions, including money transfer businesses, the national payment system, and the broader domestic financial system.</w:t>
      </w:r>
    </w:p>
    <w:p w14:paraId="36EE3E39" w14:textId="77777777" w:rsidR="00457D77" w:rsidRPr="00D907DC" w:rsidRDefault="00457D77" w:rsidP="00E57617">
      <w:pPr>
        <w:pStyle w:val="Heading3"/>
        <w:jc w:val="both"/>
        <w:rPr>
          <w:rFonts w:ascii="Times" w:hAnsi="Times" w:cs="Times"/>
          <w:b/>
          <w:bCs/>
          <w:color w:val="auto"/>
          <w:sz w:val="24"/>
          <w:szCs w:val="24"/>
        </w:rPr>
      </w:pPr>
      <w:r w:rsidRPr="00D907DC">
        <w:rPr>
          <w:rFonts w:ascii="Times" w:hAnsi="Times" w:cs="Times"/>
          <w:b/>
          <w:bCs/>
          <w:color w:val="auto"/>
          <w:sz w:val="24"/>
          <w:szCs w:val="24"/>
        </w:rPr>
        <w:t>Scope of Work</w:t>
      </w:r>
    </w:p>
    <w:p w14:paraId="6CD5EE5D" w14:textId="77777777" w:rsidR="00457D77" w:rsidRPr="00D907DC" w:rsidRDefault="00457D77" w:rsidP="00E57617">
      <w:pPr>
        <w:pStyle w:val="NormalWeb"/>
        <w:jc w:val="both"/>
        <w:rPr>
          <w:rFonts w:ascii="Times" w:hAnsi="Times" w:cs="Times"/>
        </w:rPr>
      </w:pPr>
      <w:r w:rsidRPr="00D907DC">
        <w:rPr>
          <w:rFonts w:ascii="Times" w:hAnsi="Times" w:cs="Times"/>
        </w:rPr>
        <w:t>The Financial Sector Expert’s duties include, but are not limited to:</w:t>
      </w:r>
    </w:p>
    <w:p w14:paraId="1F330A8C" w14:textId="721D5189" w:rsidR="00457D77" w:rsidRPr="00D907DC" w:rsidRDefault="001175E6" w:rsidP="00E57617">
      <w:pPr>
        <w:numPr>
          <w:ilvl w:val="0"/>
          <w:numId w:val="7"/>
        </w:numPr>
        <w:spacing w:before="100" w:beforeAutospacing="1" w:after="100" w:afterAutospacing="1"/>
        <w:jc w:val="both"/>
        <w:rPr>
          <w:rFonts w:ascii="Times" w:hAnsi="Times" w:cs="Times"/>
        </w:rPr>
      </w:pPr>
      <w:r w:rsidRPr="00D907DC">
        <w:rPr>
          <w:rStyle w:val="Strong"/>
          <w:rFonts w:ascii="Times" w:eastAsiaTheme="majorEastAsia" w:hAnsi="Times" w:cs="Times"/>
        </w:rPr>
        <w:t xml:space="preserve">Legal and </w:t>
      </w:r>
      <w:r w:rsidR="00457D77" w:rsidRPr="00D907DC">
        <w:rPr>
          <w:rStyle w:val="Strong"/>
          <w:rFonts w:ascii="Times" w:eastAsiaTheme="majorEastAsia" w:hAnsi="Times" w:cs="Times"/>
        </w:rPr>
        <w:t xml:space="preserve">Regulatory </w:t>
      </w:r>
      <w:r w:rsidR="009304C4" w:rsidRPr="00D907DC">
        <w:rPr>
          <w:rStyle w:val="Strong"/>
          <w:rFonts w:ascii="Times" w:eastAsiaTheme="majorEastAsia" w:hAnsi="Times" w:cs="Times"/>
        </w:rPr>
        <w:t>g</w:t>
      </w:r>
      <w:r w:rsidR="00457D77" w:rsidRPr="00D907DC">
        <w:rPr>
          <w:rStyle w:val="Strong"/>
          <w:rFonts w:ascii="Times" w:eastAsiaTheme="majorEastAsia" w:hAnsi="Times" w:cs="Times"/>
        </w:rPr>
        <w:t xml:space="preserve">ap </w:t>
      </w:r>
      <w:r w:rsidR="009304C4" w:rsidRPr="00D907DC">
        <w:rPr>
          <w:rStyle w:val="Strong"/>
          <w:rFonts w:ascii="Times" w:eastAsiaTheme="majorEastAsia" w:hAnsi="Times" w:cs="Times"/>
        </w:rPr>
        <w:t>a</w:t>
      </w:r>
      <w:r w:rsidR="00457D77" w:rsidRPr="00D907DC">
        <w:rPr>
          <w:rStyle w:val="Strong"/>
          <w:rFonts w:ascii="Times" w:eastAsiaTheme="majorEastAsia" w:hAnsi="Times" w:cs="Times"/>
        </w:rPr>
        <w:t>nalysis</w:t>
      </w:r>
      <w:r w:rsidR="00457D77" w:rsidRPr="00D907DC">
        <w:rPr>
          <w:rFonts w:ascii="Times" w:hAnsi="Times" w:cs="Times"/>
        </w:rPr>
        <w:t xml:space="preserve">: </w:t>
      </w:r>
      <w:r w:rsidRPr="00D907DC">
        <w:rPr>
          <w:rFonts w:ascii="Times" w:hAnsi="Times" w:cs="Times"/>
        </w:rPr>
        <w:t>Review and assess the regulatory</w:t>
      </w:r>
      <w:r w:rsidR="00457D77" w:rsidRPr="00D907DC">
        <w:rPr>
          <w:rFonts w:ascii="Times" w:hAnsi="Times" w:cs="Times"/>
        </w:rPr>
        <w:t xml:space="preserve"> gaps in the current regulatory framework</w:t>
      </w:r>
      <w:r w:rsidRPr="00D907DC">
        <w:rPr>
          <w:rFonts w:ascii="Times" w:hAnsi="Times" w:cs="Times"/>
        </w:rPr>
        <w:t xml:space="preserve"> for banks and non-banking divisions</w:t>
      </w:r>
      <w:r w:rsidR="00457D77" w:rsidRPr="00D907DC">
        <w:rPr>
          <w:rFonts w:ascii="Times" w:hAnsi="Times" w:cs="Times"/>
        </w:rPr>
        <w:t xml:space="preserve">, such as regulations, </w:t>
      </w:r>
      <w:r w:rsidRPr="00D907DC">
        <w:rPr>
          <w:rFonts w:ascii="Times" w:hAnsi="Times" w:cs="Times"/>
        </w:rPr>
        <w:t>guidelines manuals</w:t>
      </w:r>
      <w:r w:rsidR="00457D77" w:rsidRPr="00D907DC">
        <w:rPr>
          <w:rFonts w:ascii="Times" w:hAnsi="Times" w:cs="Times"/>
        </w:rPr>
        <w:t>, and supporting templates, and addressing key bottlenecks in line with international and regional best practices.</w:t>
      </w:r>
    </w:p>
    <w:p w14:paraId="042870B5" w14:textId="3327717A" w:rsidR="00457D77" w:rsidRPr="00D907DC" w:rsidRDefault="00457D77" w:rsidP="00E57617">
      <w:pPr>
        <w:numPr>
          <w:ilvl w:val="0"/>
          <w:numId w:val="7"/>
        </w:numPr>
        <w:spacing w:before="100" w:beforeAutospacing="1" w:after="100" w:afterAutospacing="1"/>
        <w:jc w:val="both"/>
        <w:rPr>
          <w:rFonts w:ascii="Times" w:hAnsi="Times" w:cs="Times"/>
        </w:rPr>
      </w:pPr>
      <w:r w:rsidRPr="00D907DC">
        <w:rPr>
          <w:rStyle w:val="Strong"/>
          <w:rFonts w:ascii="Times" w:eastAsiaTheme="majorEastAsia" w:hAnsi="Times" w:cs="Times"/>
        </w:rPr>
        <w:t xml:space="preserve">Strategic </w:t>
      </w:r>
      <w:r w:rsidR="009304C4" w:rsidRPr="00D907DC">
        <w:rPr>
          <w:rStyle w:val="Strong"/>
          <w:rFonts w:ascii="Times" w:eastAsiaTheme="majorEastAsia" w:hAnsi="Times" w:cs="Times"/>
        </w:rPr>
        <w:t>f</w:t>
      </w:r>
      <w:r w:rsidRPr="00D907DC">
        <w:rPr>
          <w:rStyle w:val="Strong"/>
          <w:rFonts w:ascii="Times" w:eastAsiaTheme="majorEastAsia" w:hAnsi="Times" w:cs="Times"/>
        </w:rPr>
        <w:t>inancial</w:t>
      </w:r>
      <w:r w:rsidR="009304C4" w:rsidRPr="00D907DC">
        <w:rPr>
          <w:rStyle w:val="Strong"/>
          <w:rFonts w:ascii="Times" w:eastAsiaTheme="majorEastAsia" w:hAnsi="Times" w:cs="Times"/>
        </w:rPr>
        <w:t xml:space="preserve"> sector</w:t>
      </w:r>
      <w:r w:rsidRPr="00D907DC">
        <w:rPr>
          <w:rStyle w:val="Strong"/>
          <w:rFonts w:ascii="Times" w:eastAsiaTheme="majorEastAsia" w:hAnsi="Times" w:cs="Times"/>
        </w:rPr>
        <w:t xml:space="preserve"> </w:t>
      </w:r>
      <w:r w:rsidR="009304C4" w:rsidRPr="00D907DC">
        <w:rPr>
          <w:rStyle w:val="Strong"/>
          <w:rFonts w:ascii="Times" w:eastAsiaTheme="majorEastAsia" w:hAnsi="Times" w:cs="Times"/>
        </w:rPr>
        <w:t>g</w:t>
      </w:r>
      <w:r w:rsidRPr="00D907DC">
        <w:rPr>
          <w:rStyle w:val="Strong"/>
          <w:rFonts w:ascii="Times" w:eastAsiaTheme="majorEastAsia" w:hAnsi="Times" w:cs="Times"/>
        </w:rPr>
        <w:t>uidance</w:t>
      </w:r>
      <w:r w:rsidRPr="00D907DC">
        <w:rPr>
          <w:rFonts w:ascii="Times" w:hAnsi="Times" w:cs="Times"/>
        </w:rPr>
        <w:t xml:space="preserve">: Advising CBS senior management on financial </w:t>
      </w:r>
      <w:r w:rsidR="009304C4" w:rsidRPr="00D907DC">
        <w:rPr>
          <w:rFonts w:ascii="Times" w:hAnsi="Times" w:cs="Times"/>
        </w:rPr>
        <w:t>sector initiatives and interventions</w:t>
      </w:r>
      <w:r w:rsidRPr="00D907DC">
        <w:rPr>
          <w:rFonts w:ascii="Times" w:hAnsi="Times" w:cs="Times"/>
        </w:rPr>
        <w:t>.</w:t>
      </w:r>
    </w:p>
    <w:p w14:paraId="1E788D0C" w14:textId="2B64D97B" w:rsidR="00457D77" w:rsidRPr="00D907DC" w:rsidRDefault="00457D77" w:rsidP="00E57617">
      <w:pPr>
        <w:numPr>
          <w:ilvl w:val="0"/>
          <w:numId w:val="7"/>
        </w:numPr>
        <w:spacing w:before="100" w:beforeAutospacing="1" w:after="100" w:afterAutospacing="1"/>
        <w:jc w:val="both"/>
        <w:rPr>
          <w:rFonts w:ascii="Times" w:hAnsi="Times" w:cs="Times"/>
        </w:rPr>
      </w:pPr>
      <w:r w:rsidRPr="00D907DC">
        <w:rPr>
          <w:rStyle w:val="Strong"/>
          <w:rFonts w:ascii="Times" w:eastAsiaTheme="majorEastAsia" w:hAnsi="Times" w:cs="Times"/>
        </w:rPr>
        <w:t xml:space="preserve">Financial </w:t>
      </w:r>
      <w:r w:rsidR="009304C4" w:rsidRPr="00D907DC">
        <w:rPr>
          <w:rStyle w:val="Strong"/>
          <w:rFonts w:ascii="Times" w:eastAsiaTheme="majorEastAsia" w:hAnsi="Times" w:cs="Times"/>
        </w:rPr>
        <w:t>s</w:t>
      </w:r>
      <w:r w:rsidRPr="00D907DC">
        <w:rPr>
          <w:rStyle w:val="Strong"/>
          <w:rFonts w:ascii="Times" w:eastAsiaTheme="majorEastAsia" w:hAnsi="Times" w:cs="Times"/>
        </w:rPr>
        <w:t xml:space="preserve">ector </w:t>
      </w:r>
      <w:r w:rsidR="009304C4" w:rsidRPr="00D907DC">
        <w:rPr>
          <w:rStyle w:val="Strong"/>
          <w:rFonts w:ascii="Times" w:eastAsiaTheme="majorEastAsia" w:hAnsi="Times" w:cs="Times"/>
        </w:rPr>
        <w:t>d</w:t>
      </w:r>
      <w:r w:rsidRPr="00D907DC">
        <w:rPr>
          <w:rStyle w:val="Strong"/>
          <w:rFonts w:ascii="Times" w:eastAsiaTheme="majorEastAsia" w:hAnsi="Times" w:cs="Times"/>
        </w:rPr>
        <w:t>evelopment</w:t>
      </w:r>
      <w:r w:rsidRPr="00D907DC">
        <w:rPr>
          <w:rFonts w:ascii="Times" w:hAnsi="Times" w:cs="Times"/>
        </w:rPr>
        <w:t xml:space="preserve">: Contributing to the </w:t>
      </w:r>
      <w:r w:rsidR="001175E6" w:rsidRPr="00D907DC">
        <w:rPr>
          <w:rFonts w:ascii="Times" w:hAnsi="Times" w:cs="Times"/>
        </w:rPr>
        <w:t xml:space="preserve">achievement of </w:t>
      </w:r>
      <w:r w:rsidRPr="00D907DC">
        <w:rPr>
          <w:rFonts w:ascii="Times" w:hAnsi="Times" w:cs="Times"/>
        </w:rPr>
        <w:t xml:space="preserve">financial sector </w:t>
      </w:r>
      <w:r w:rsidR="001175E6" w:rsidRPr="00D907DC">
        <w:rPr>
          <w:rFonts w:ascii="Times" w:hAnsi="Times" w:cs="Times"/>
        </w:rPr>
        <w:t>diagnostic review activities and action plans.</w:t>
      </w:r>
    </w:p>
    <w:p w14:paraId="11C7CF2B" w14:textId="6D78E601" w:rsidR="00457D77" w:rsidRPr="00D907DC" w:rsidRDefault="00457D77" w:rsidP="00E57617">
      <w:pPr>
        <w:numPr>
          <w:ilvl w:val="0"/>
          <w:numId w:val="7"/>
        </w:numPr>
        <w:spacing w:before="100" w:beforeAutospacing="1" w:after="100" w:afterAutospacing="1"/>
        <w:jc w:val="both"/>
        <w:rPr>
          <w:rFonts w:ascii="Times" w:hAnsi="Times" w:cs="Times"/>
        </w:rPr>
      </w:pPr>
      <w:r w:rsidRPr="00D907DC">
        <w:rPr>
          <w:rStyle w:val="Strong"/>
          <w:rFonts w:ascii="Times" w:eastAsiaTheme="majorEastAsia" w:hAnsi="Times" w:cs="Times"/>
        </w:rPr>
        <w:t xml:space="preserve">Roadmap </w:t>
      </w:r>
      <w:r w:rsidR="009304C4" w:rsidRPr="00D907DC">
        <w:rPr>
          <w:rStyle w:val="Strong"/>
          <w:rFonts w:ascii="Times" w:eastAsiaTheme="majorEastAsia" w:hAnsi="Times" w:cs="Times"/>
        </w:rPr>
        <w:t>de</w:t>
      </w:r>
      <w:r w:rsidRPr="00D907DC">
        <w:rPr>
          <w:rStyle w:val="Strong"/>
          <w:rFonts w:ascii="Times" w:eastAsiaTheme="majorEastAsia" w:hAnsi="Times" w:cs="Times"/>
        </w:rPr>
        <w:t>velopment</w:t>
      </w:r>
      <w:r w:rsidRPr="00D907DC">
        <w:rPr>
          <w:rFonts w:ascii="Times" w:hAnsi="Times" w:cs="Times"/>
        </w:rPr>
        <w:t>: Participating in the development of a new financial sector development roadmap to facilitate the implementation of the CBS strategy.</w:t>
      </w:r>
    </w:p>
    <w:p w14:paraId="396354E0" w14:textId="30A72340" w:rsidR="00457D77" w:rsidRPr="00D907DC" w:rsidRDefault="00457D77" w:rsidP="00E57617">
      <w:pPr>
        <w:numPr>
          <w:ilvl w:val="0"/>
          <w:numId w:val="7"/>
        </w:numPr>
        <w:spacing w:before="100" w:beforeAutospacing="1" w:after="100" w:afterAutospacing="1"/>
        <w:jc w:val="both"/>
        <w:rPr>
          <w:rFonts w:ascii="Times" w:hAnsi="Times" w:cs="Times"/>
        </w:rPr>
      </w:pPr>
      <w:r w:rsidRPr="00D907DC">
        <w:rPr>
          <w:rStyle w:val="Strong"/>
          <w:rFonts w:ascii="Times" w:eastAsiaTheme="majorEastAsia" w:hAnsi="Times" w:cs="Times"/>
        </w:rPr>
        <w:t xml:space="preserve">Fintech </w:t>
      </w:r>
      <w:r w:rsidR="009304C4" w:rsidRPr="00D907DC">
        <w:rPr>
          <w:rStyle w:val="Strong"/>
          <w:rFonts w:ascii="Times" w:eastAsiaTheme="majorEastAsia" w:hAnsi="Times" w:cs="Times"/>
        </w:rPr>
        <w:t>l</w:t>
      </w:r>
      <w:r w:rsidRPr="00D907DC">
        <w:rPr>
          <w:rStyle w:val="Strong"/>
          <w:rFonts w:ascii="Times" w:eastAsiaTheme="majorEastAsia" w:hAnsi="Times" w:cs="Times"/>
        </w:rPr>
        <w:t>everage</w:t>
      </w:r>
      <w:r w:rsidRPr="00D907DC">
        <w:rPr>
          <w:rFonts w:ascii="Times" w:hAnsi="Times" w:cs="Times"/>
        </w:rPr>
        <w:t>: Enhancing the role of fintech in promoting financial inclusion and access in Somalia.</w:t>
      </w:r>
    </w:p>
    <w:p w14:paraId="32BBEE51" w14:textId="3A2A2020" w:rsidR="00457D77" w:rsidRPr="00D907DC" w:rsidRDefault="00457D77" w:rsidP="00E57617">
      <w:pPr>
        <w:numPr>
          <w:ilvl w:val="0"/>
          <w:numId w:val="7"/>
        </w:numPr>
        <w:spacing w:before="100" w:beforeAutospacing="1" w:after="100" w:afterAutospacing="1"/>
        <w:jc w:val="both"/>
        <w:rPr>
          <w:rFonts w:ascii="Times" w:hAnsi="Times" w:cs="Times"/>
        </w:rPr>
      </w:pPr>
      <w:r w:rsidRPr="00D907DC">
        <w:rPr>
          <w:rStyle w:val="Strong"/>
          <w:rFonts w:ascii="Times" w:eastAsiaTheme="majorEastAsia" w:hAnsi="Times" w:cs="Times"/>
        </w:rPr>
        <w:t>Capacity</w:t>
      </w:r>
      <w:r w:rsidR="001175E6" w:rsidRPr="00D907DC">
        <w:rPr>
          <w:rStyle w:val="Strong"/>
          <w:rFonts w:ascii="Times" w:eastAsiaTheme="majorEastAsia" w:hAnsi="Times" w:cs="Times"/>
        </w:rPr>
        <w:t xml:space="preserve"> Development and training</w:t>
      </w:r>
      <w:r w:rsidRPr="00D907DC">
        <w:rPr>
          <w:rFonts w:ascii="Times" w:hAnsi="Times" w:cs="Times"/>
        </w:rPr>
        <w:t xml:space="preserve">: Building the capacity of CBS staff to fulfill the bank’s mandate regarding financial sector </w:t>
      </w:r>
      <w:proofErr w:type="gramStart"/>
      <w:r w:rsidRPr="00D907DC">
        <w:rPr>
          <w:rFonts w:ascii="Times" w:hAnsi="Times" w:cs="Times"/>
        </w:rPr>
        <w:t>development</w:t>
      </w:r>
      <w:r w:rsidR="00751537">
        <w:rPr>
          <w:rFonts w:ascii="Times" w:hAnsi="Times" w:cs="Times"/>
        </w:rPr>
        <w:t>, and</w:t>
      </w:r>
      <w:proofErr w:type="gramEnd"/>
      <w:r w:rsidR="001175E6" w:rsidRPr="00D907DC">
        <w:rPr>
          <w:rFonts w:ascii="Times" w:hAnsi="Times" w:cs="Times"/>
        </w:rPr>
        <w:t xml:space="preserve"> provide training on key prudential requirements to banks</w:t>
      </w:r>
      <w:r w:rsidR="00751537">
        <w:rPr>
          <w:rFonts w:ascii="Times" w:hAnsi="Times" w:cs="Times"/>
        </w:rPr>
        <w:t xml:space="preserve"> and non-banks financial institutions</w:t>
      </w:r>
      <w:r w:rsidRPr="00D907DC">
        <w:rPr>
          <w:rFonts w:ascii="Times" w:hAnsi="Times" w:cs="Times"/>
        </w:rPr>
        <w:t>.</w:t>
      </w:r>
    </w:p>
    <w:p w14:paraId="3DB3D314" w14:textId="77777777" w:rsidR="009304C4" w:rsidRPr="00D907DC" w:rsidRDefault="009304C4" w:rsidP="00E57617">
      <w:pPr>
        <w:pStyle w:val="Heading3"/>
        <w:jc w:val="both"/>
        <w:rPr>
          <w:rFonts w:ascii="Times" w:hAnsi="Times" w:cs="Times"/>
          <w:b/>
          <w:bCs/>
          <w:color w:val="auto"/>
          <w:sz w:val="24"/>
          <w:szCs w:val="24"/>
        </w:rPr>
      </w:pPr>
      <w:r w:rsidRPr="00D907DC">
        <w:rPr>
          <w:rFonts w:ascii="Times" w:hAnsi="Times" w:cs="Times"/>
          <w:b/>
          <w:bCs/>
          <w:color w:val="auto"/>
          <w:sz w:val="24"/>
          <w:szCs w:val="24"/>
        </w:rPr>
        <w:t>Deliverables</w:t>
      </w:r>
    </w:p>
    <w:p w14:paraId="16D853D4" w14:textId="2C194503" w:rsidR="009304C4" w:rsidRPr="00D907DC" w:rsidRDefault="009304C4" w:rsidP="00E57617">
      <w:pPr>
        <w:pStyle w:val="NormalWeb"/>
        <w:numPr>
          <w:ilvl w:val="0"/>
          <w:numId w:val="8"/>
        </w:numPr>
        <w:jc w:val="both"/>
        <w:rPr>
          <w:rFonts w:ascii="Times" w:hAnsi="Times" w:cs="Times"/>
        </w:rPr>
      </w:pPr>
      <w:r w:rsidRPr="00D907DC">
        <w:rPr>
          <w:rStyle w:val="Strong"/>
          <w:rFonts w:ascii="Times" w:eastAsiaTheme="majorEastAsia" w:hAnsi="Times" w:cs="Times"/>
        </w:rPr>
        <w:t>Inception report and work plan</w:t>
      </w:r>
      <w:r w:rsidRPr="00D907DC">
        <w:rPr>
          <w:rFonts w:ascii="Times" w:hAnsi="Times" w:cs="Times"/>
        </w:rPr>
        <w:t xml:space="preserve">: The assignment requires the submission of an inception report, which should comprehensively detail the scope, objectives, and methodologies intended for the consultancy project. This report is crucial as it lays the foundation for the entire assignment, setting clear expectations and defining the agreed-upon roadmap for execution. By articulating the project's boundaries, goals, and strategies, the inception </w:t>
      </w:r>
      <w:r w:rsidRPr="00D907DC">
        <w:rPr>
          <w:rFonts w:ascii="Times" w:hAnsi="Times" w:cs="Times"/>
        </w:rPr>
        <w:lastRenderedPageBreak/>
        <w:t>report will serve as a guiding document that ensures alignment between all stakeholders and facilitates a structured and efficient workflow throughout the project's duration.</w:t>
      </w:r>
    </w:p>
    <w:p w14:paraId="1E860FF5" w14:textId="7E775F56" w:rsidR="009304C4" w:rsidRPr="00D907DC" w:rsidRDefault="001175E6" w:rsidP="00E57617">
      <w:pPr>
        <w:pStyle w:val="NormalWeb"/>
        <w:numPr>
          <w:ilvl w:val="0"/>
          <w:numId w:val="8"/>
        </w:numPr>
        <w:jc w:val="both"/>
        <w:rPr>
          <w:rFonts w:ascii="Times" w:hAnsi="Times" w:cs="Times"/>
        </w:rPr>
      </w:pPr>
      <w:r w:rsidRPr="00D907DC">
        <w:rPr>
          <w:rStyle w:val="Strong"/>
          <w:rFonts w:ascii="Times" w:eastAsiaTheme="majorEastAsia" w:hAnsi="Times" w:cs="Times"/>
        </w:rPr>
        <w:t xml:space="preserve">Legal and </w:t>
      </w:r>
      <w:r w:rsidR="009304C4" w:rsidRPr="00D907DC">
        <w:rPr>
          <w:rStyle w:val="Strong"/>
          <w:rFonts w:ascii="Times" w:eastAsiaTheme="majorEastAsia" w:hAnsi="Times" w:cs="Times"/>
        </w:rPr>
        <w:t>Regulatory gap analysis</w:t>
      </w:r>
      <w:r w:rsidR="009304C4" w:rsidRPr="00D907DC">
        <w:rPr>
          <w:rFonts w:ascii="Times" w:hAnsi="Times" w:cs="Times"/>
        </w:rPr>
        <w:t xml:space="preserve">: </w:t>
      </w:r>
      <w:r w:rsidR="005960DE" w:rsidRPr="00D907DC">
        <w:rPr>
          <w:rFonts w:ascii="Times" w:hAnsi="Times" w:cs="Times"/>
        </w:rPr>
        <w:t>Regulatory gap analysis undertaken for banks and nonbank financial institutions and roadmap for addressing such gap analysis is developed.</w:t>
      </w:r>
    </w:p>
    <w:p w14:paraId="181EFD67" w14:textId="17C490CD" w:rsidR="009304C4" w:rsidRPr="00D907DC" w:rsidRDefault="009304C4" w:rsidP="00E57617">
      <w:pPr>
        <w:pStyle w:val="NormalWeb"/>
        <w:numPr>
          <w:ilvl w:val="0"/>
          <w:numId w:val="8"/>
        </w:numPr>
        <w:jc w:val="both"/>
        <w:rPr>
          <w:rFonts w:ascii="Times" w:hAnsi="Times" w:cs="Times"/>
        </w:rPr>
      </w:pPr>
      <w:r w:rsidRPr="00D907DC">
        <w:rPr>
          <w:rStyle w:val="Strong"/>
          <w:rFonts w:ascii="Times" w:eastAsiaTheme="majorEastAsia" w:hAnsi="Times" w:cs="Times"/>
        </w:rPr>
        <w:t>Technical note on financial sector development priorities</w:t>
      </w:r>
      <w:r w:rsidRPr="00D907DC">
        <w:rPr>
          <w:rFonts w:ascii="Times" w:hAnsi="Times" w:cs="Times"/>
        </w:rPr>
        <w:t>: Creation of a technical note outlining the financial sector development priorities to inform CBS financial sector policies.</w:t>
      </w:r>
    </w:p>
    <w:p w14:paraId="368576DF" w14:textId="75EF2DD5" w:rsidR="009304C4" w:rsidRPr="00D907DC" w:rsidRDefault="009304C4" w:rsidP="00E57617">
      <w:pPr>
        <w:pStyle w:val="NormalWeb"/>
        <w:numPr>
          <w:ilvl w:val="0"/>
          <w:numId w:val="8"/>
        </w:numPr>
        <w:jc w:val="both"/>
        <w:rPr>
          <w:rFonts w:ascii="Times" w:hAnsi="Times" w:cs="Times"/>
        </w:rPr>
      </w:pPr>
      <w:r w:rsidRPr="00D907DC">
        <w:rPr>
          <w:rStyle w:val="Strong"/>
          <w:rFonts w:ascii="Times" w:eastAsiaTheme="majorEastAsia" w:hAnsi="Times" w:cs="Times"/>
        </w:rPr>
        <w:t xml:space="preserve">Staff </w:t>
      </w:r>
      <w:r w:rsidR="00E57617" w:rsidRPr="00D907DC">
        <w:rPr>
          <w:rStyle w:val="Strong"/>
          <w:rFonts w:ascii="Times" w:eastAsiaTheme="majorEastAsia" w:hAnsi="Times" w:cs="Times"/>
        </w:rPr>
        <w:t>t</w:t>
      </w:r>
      <w:r w:rsidRPr="00D907DC">
        <w:rPr>
          <w:rStyle w:val="Strong"/>
          <w:rFonts w:ascii="Times" w:eastAsiaTheme="majorEastAsia" w:hAnsi="Times" w:cs="Times"/>
        </w:rPr>
        <w:t xml:space="preserve">raining </w:t>
      </w:r>
      <w:r w:rsidR="00E57617" w:rsidRPr="00D907DC">
        <w:rPr>
          <w:rStyle w:val="Strong"/>
          <w:rFonts w:ascii="Times" w:eastAsiaTheme="majorEastAsia" w:hAnsi="Times" w:cs="Times"/>
        </w:rPr>
        <w:t>p</w:t>
      </w:r>
      <w:r w:rsidRPr="00D907DC">
        <w:rPr>
          <w:rStyle w:val="Strong"/>
          <w:rFonts w:ascii="Times" w:eastAsiaTheme="majorEastAsia" w:hAnsi="Times" w:cs="Times"/>
        </w:rPr>
        <w:t>rograms</w:t>
      </w:r>
      <w:r w:rsidRPr="00D907DC">
        <w:rPr>
          <w:rFonts w:ascii="Times" w:hAnsi="Times" w:cs="Times"/>
        </w:rPr>
        <w:t xml:space="preserve">: </w:t>
      </w:r>
      <w:r w:rsidR="005960DE" w:rsidRPr="00D907DC">
        <w:rPr>
          <w:rFonts w:ascii="Times" w:hAnsi="Times" w:cs="Times"/>
        </w:rPr>
        <w:t xml:space="preserve">CBS staff receive handholding capacity building on the periodic assessment and regulatory review of the existing </w:t>
      </w:r>
      <w:r w:rsidR="00D907DC" w:rsidRPr="00D907DC">
        <w:rPr>
          <w:rFonts w:ascii="Times" w:hAnsi="Times" w:cs="Times"/>
        </w:rPr>
        <w:t>prudential</w:t>
      </w:r>
      <w:r w:rsidR="005960DE" w:rsidRPr="00D907DC">
        <w:rPr>
          <w:rFonts w:ascii="Times" w:hAnsi="Times" w:cs="Times"/>
        </w:rPr>
        <w:t xml:space="preserve"> regulations and manuals for banks and nonbank financial divisions </w:t>
      </w:r>
      <w:r w:rsidR="00350433" w:rsidRPr="00D907DC">
        <w:rPr>
          <w:rFonts w:ascii="Times" w:hAnsi="Times" w:cs="Times"/>
        </w:rPr>
        <w:t>and provide</w:t>
      </w:r>
      <w:r w:rsidR="005960DE" w:rsidRPr="00D907DC">
        <w:rPr>
          <w:rFonts w:ascii="Times" w:hAnsi="Times" w:cs="Times"/>
        </w:rPr>
        <w:t xml:space="preserve"> targeted training to banks and nonbank financial institutions on key regulatory deficiencies identified in the </w:t>
      </w:r>
      <w:r w:rsidR="005D48A9" w:rsidRPr="00D907DC">
        <w:rPr>
          <w:rFonts w:ascii="Times" w:hAnsi="Times" w:cs="Times"/>
        </w:rPr>
        <w:t>supervisory exercise</w:t>
      </w:r>
      <w:r w:rsidRPr="00D907DC">
        <w:rPr>
          <w:rFonts w:ascii="Times" w:hAnsi="Times" w:cs="Times"/>
        </w:rPr>
        <w:t>.</w:t>
      </w:r>
    </w:p>
    <w:p w14:paraId="73777DEE" w14:textId="77777777" w:rsidR="00F72D29" w:rsidRPr="00D907DC" w:rsidRDefault="00F72D29" w:rsidP="00E57617">
      <w:pPr>
        <w:contextualSpacing/>
        <w:jc w:val="both"/>
        <w:rPr>
          <w:rFonts w:ascii="Times" w:hAnsi="Times" w:cs="Times"/>
        </w:rPr>
      </w:pPr>
    </w:p>
    <w:p w14:paraId="4A2714DD" w14:textId="77777777" w:rsidR="00F72D29" w:rsidRPr="00D907DC" w:rsidRDefault="00F72D29" w:rsidP="00E57617">
      <w:pPr>
        <w:jc w:val="both"/>
        <w:rPr>
          <w:rFonts w:ascii="Times" w:hAnsi="Times" w:cs="Times"/>
          <w:b/>
        </w:rPr>
      </w:pPr>
      <w:r w:rsidRPr="00D907DC">
        <w:rPr>
          <w:rFonts w:ascii="Times" w:hAnsi="Times" w:cs="Times"/>
          <w:b/>
        </w:rPr>
        <w:t>Qualifications:</w:t>
      </w:r>
    </w:p>
    <w:p w14:paraId="47DF47E1" w14:textId="7D1F44F0" w:rsidR="00E57617" w:rsidRPr="00D907DC" w:rsidRDefault="00E57617" w:rsidP="00E57617">
      <w:pPr>
        <w:numPr>
          <w:ilvl w:val="0"/>
          <w:numId w:val="9"/>
        </w:numPr>
        <w:spacing w:before="100" w:beforeAutospacing="1" w:after="100" w:afterAutospacing="1"/>
        <w:jc w:val="both"/>
        <w:rPr>
          <w:rFonts w:ascii="Times" w:hAnsi="Times" w:cs="Times"/>
        </w:rPr>
      </w:pPr>
      <w:r w:rsidRPr="00D907DC">
        <w:rPr>
          <w:rStyle w:val="Strong"/>
          <w:rFonts w:ascii="Times" w:eastAsiaTheme="majorEastAsia" w:hAnsi="Times" w:cs="Times"/>
        </w:rPr>
        <w:t>Education and Qualifications</w:t>
      </w:r>
      <w:r w:rsidRPr="00D907DC">
        <w:rPr>
          <w:rFonts w:ascii="Times" w:hAnsi="Times" w:cs="Times"/>
        </w:rPr>
        <w:t xml:space="preserve">: A minimum of an MBA, MA, or MSc in </w:t>
      </w:r>
      <w:r w:rsidR="00D907DC" w:rsidRPr="00D907DC">
        <w:rPr>
          <w:rFonts w:ascii="Times" w:hAnsi="Times" w:cs="Times"/>
        </w:rPr>
        <w:t>Finance, Economics</w:t>
      </w:r>
      <w:r w:rsidR="009F4740" w:rsidRPr="00D907DC">
        <w:rPr>
          <w:rFonts w:ascii="Times" w:hAnsi="Times" w:cs="Times"/>
        </w:rPr>
        <w:t xml:space="preserve"> </w:t>
      </w:r>
      <w:r w:rsidRPr="00D907DC">
        <w:rPr>
          <w:rFonts w:ascii="Times" w:hAnsi="Times" w:cs="Times"/>
        </w:rPr>
        <w:t>or a related discipline.</w:t>
      </w:r>
      <w:r w:rsidR="00B5493F">
        <w:rPr>
          <w:rFonts w:ascii="Times" w:hAnsi="Times" w:cs="Times"/>
        </w:rPr>
        <w:t xml:space="preserve"> </w:t>
      </w:r>
      <w:r w:rsidR="008E4C02" w:rsidRPr="00D907DC">
        <w:rPr>
          <w:rFonts w:ascii="Times" w:hAnsi="Times" w:cs="Times"/>
        </w:rPr>
        <w:t>C</w:t>
      </w:r>
      <w:r w:rsidRPr="00D907DC">
        <w:rPr>
          <w:rFonts w:ascii="Times" w:hAnsi="Times" w:cs="Times"/>
        </w:rPr>
        <w:t>andidates</w:t>
      </w:r>
      <w:r w:rsidR="008E4C02" w:rsidRPr="00D907DC">
        <w:rPr>
          <w:rFonts w:ascii="Times" w:hAnsi="Times" w:cs="Times"/>
        </w:rPr>
        <w:t xml:space="preserve"> </w:t>
      </w:r>
      <w:r w:rsidRPr="00D907DC">
        <w:rPr>
          <w:rFonts w:ascii="Times" w:hAnsi="Times" w:cs="Times"/>
        </w:rPr>
        <w:t xml:space="preserve">with </w:t>
      </w:r>
      <w:r w:rsidR="00D70DD1" w:rsidRPr="00D907DC">
        <w:rPr>
          <w:rFonts w:ascii="Times" w:hAnsi="Times" w:cs="Times"/>
        </w:rPr>
        <w:t xml:space="preserve">additional </w:t>
      </w:r>
      <w:r w:rsidRPr="00D907DC">
        <w:rPr>
          <w:rFonts w:ascii="Times" w:hAnsi="Times" w:cs="Times"/>
        </w:rPr>
        <w:t xml:space="preserve">professional qualifications such as ACCA, CPFA, or CPA </w:t>
      </w:r>
      <w:r w:rsidR="00DA68BD" w:rsidRPr="00D907DC">
        <w:rPr>
          <w:rFonts w:ascii="Times" w:hAnsi="Times" w:cs="Times"/>
        </w:rPr>
        <w:t xml:space="preserve">will have </w:t>
      </w:r>
      <w:r w:rsidR="009D3F16" w:rsidRPr="00D907DC">
        <w:rPr>
          <w:rFonts w:ascii="Times" w:hAnsi="Times" w:cs="Times"/>
        </w:rPr>
        <w:t xml:space="preserve">an </w:t>
      </w:r>
      <w:r w:rsidR="00DA68BD" w:rsidRPr="00D907DC">
        <w:rPr>
          <w:rFonts w:ascii="Times" w:hAnsi="Times" w:cs="Times"/>
        </w:rPr>
        <w:t>added advantage</w:t>
      </w:r>
      <w:r w:rsidR="009D3F16" w:rsidRPr="00D907DC">
        <w:rPr>
          <w:rFonts w:ascii="Times" w:hAnsi="Times" w:cs="Times"/>
        </w:rPr>
        <w:t>.</w:t>
      </w:r>
    </w:p>
    <w:p w14:paraId="5BD55E60" w14:textId="0081A786" w:rsidR="00E57617" w:rsidRPr="00D907DC" w:rsidRDefault="00E57617" w:rsidP="00E57617">
      <w:pPr>
        <w:numPr>
          <w:ilvl w:val="0"/>
          <w:numId w:val="9"/>
        </w:numPr>
        <w:spacing w:before="100" w:beforeAutospacing="1" w:after="100" w:afterAutospacing="1"/>
        <w:jc w:val="both"/>
        <w:rPr>
          <w:rFonts w:ascii="Times" w:hAnsi="Times" w:cs="Times"/>
        </w:rPr>
      </w:pPr>
      <w:r w:rsidRPr="00D907DC">
        <w:rPr>
          <w:rStyle w:val="Strong"/>
          <w:rFonts w:ascii="Times" w:eastAsiaTheme="majorEastAsia" w:hAnsi="Times" w:cs="Times"/>
        </w:rPr>
        <w:t>Experience</w:t>
      </w:r>
      <w:r w:rsidRPr="00D907DC">
        <w:rPr>
          <w:rFonts w:ascii="Times" w:hAnsi="Times" w:cs="Times"/>
        </w:rPr>
        <w:t xml:space="preserve">: At least 10 years of </w:t>
      </w:r>
      <w:r w:rsidR="00022E1D" w:rsidRPr="00D907DC">
        <w:rPr>
          <w:rFonts w:ascii="Times" w:hAnsi="Times" w:cs="Times"/>
        </w:rPr>
        <w:t xml:space="preserve">financial sector </w:t>
      </w:r>
      <w:r w:rsidRPr="00D907DC">
        <w:rPr>
          <w:rFonts w:ascii="Times" w:hAnsi="Times" w:cs="Times"/>
        </w:rPr>
        <w:t>experience</w:t>
      </w:r>
      <w:r w:rsidR="00022E1D" w:rsidRPr="00D907DC">
        <w:rPr>
          <w:rFonts w:ascii="Times" w:hAnsi="Times" w:cs="Times"/>
        </w:rPr>
        <w:t>, specifically</w:t>
      </w:r>
      <w:r w:rsidRPr="00D907DC">
        <w:rPr>
          <w:rFonts w:ascii="Times" w:hAnsi="Times" w:cs="Times"/>
        </w:rPr>
        <w:t xml:space="preserve"> in</w:t>
      </w:r>
      <w:r w:rsidR="00022E1D" w:rsidRPr="00D907DC">
        <w:rPr>
          <w:rFonts w:ascii="Times" w:hAnsi="Times" w:cs="Times"/>
        </w:rPr>
        <w:t xml:space="preserve"> the areas of </w:t>
      </w:r>
      <w:r w:rsidR="00A84ED3">
        <w:rPr>
          <w:rFonts w:ascii="Times" w:hAnsi="Times" w:cs="Times"/>
        </w:rPr>
        <w:t>legal/regulatory reviews for the financial sector, financial sector development research, banking and non-bank financial institutions supervisions</w:t>
      </w:r>
      <w:r w:rsidR="00022E1D" w:rsidRPr="00D907DC">
        <w:rPr>
          <w:rFonts w:ascii="Times" w:hAnsi="Times" w:cs="Times"/>
        </w:rPr>
        <w:t>,</w:t>
      </w:r>
      <w:r w:rsidRPr="00D907DC">
        <w:rPr>
          <w:rFonts w:ascii="Times" w:hAnsi="Times" w:cs="Times"/>
        </w:rPr>
        <w:t xml:space="preserve"> financial management reporting, including IFRS compliance or auditing</w:t>
      </w:r>
      <w:r w:rsidR="00A84ED3">
        <w:rPr>
          <w:rFonts w:ascii="Times" w:hAnsi="Times" w:cs="Times"/>
        </w:rPr>
        <w:t>,</w:t>
      </w:r>
      <w:r w:rsidR="00022E1D" w:rsidRPr="00D907DC">
        <w:rPr>
          <w:rFonts w:ascii="Times" w:hAnsi="Times" w:cs="Times"/>
        </w:rPr>
        <w:t xml:space="preserve"> and </w:t>
      </w:r>
      <w:r w:rsidR="00A84ED3">
        <w:rPr>
          <w:rFonts w:ascii="Times" w:hAnsi="Times" w:cs="Times"/>
        </w:rPr>
        <w:t>the ability to build the capacities of central banks and financial institutions</w:t>
      </w:r>
      <w:r w:rsidRPr="00D907DC">
        <w:rPr>
          <w:rFonts w:ascii="Times" w:hAnsi="Times" w:cs="Times"/>
        </w:rPr>
        <w:t>.</w:t>
      </w:r>
    </w:p>
    <w:p w14:paraId="23926856" w14:textId="77777777" w:rsidR="00E57617" w:rsidRPr="00D907DC" w:rsidRDefault="00E57617" w:rsidP="00E57617">
      <w:pPr>
        <w:numPr>
          <w:ilvl w:val="0"/>
          <w:numId w:val="9"/>
        </w:numPr>
        <w:spacing w:before="100" w:beforeAutospacing="1" w:after="100" w:afterAutospacing="1"/>
        <w:jc w:val="both"/>
        <w:rPr>
          <w:rFonts w:ascii="Times" w:hAnsi="Times" w:cs="Times"/>
        </w:rPr>
      </w:pPr>
      <w:r w:rsidRPr="00D907DC">
        <w:rPr>
          <w:rStyle w:val="Strong"/>
          <w:rFonts w:ascii="Times" w:eastAsiaTheme="majorEastAsia" w:hAnsi="Times" w:cs="Times"/>
        </w:rPr>
        <w:t>Industry Background</w:t>
      </w:r>
      <w:r w:rsidRPr="00D907DC">
        <w:rPr>
          <w:rFonts w:ascii="Times" w:hAnsi="Times" w:cs="Times"/>
        </w:rPr>
        <w:t>: Proven experience in financial institutions, multilateral development banks, or other financial regulatory bodies is essential.</w:t>
      </w:r>
    </w:p>
    <w:p w14:paraId="42B96E74" w14:textId="35C3CC67" w:rsidR="00E57617" w:rsidRPr="00D907DC" w:rsidRDefault="00E57617" w:rsidP="00E57617">
      <w:pPr>
        <w:numPr>
          <w:ilvl w:val="0"/>
          <w:numId w:val="9"/>
        </w:numPr>
        <w:spacing w:before="100" w:beforeAutospacing="1" w:after="100" w:afterAutospacing="1"/>
        <w:jc w:val="both"/>
        <w:rPr>
          <w:rFonts w:ascii="Times" w:hAnsi="Times" w:cs="Times"/>
        </w:rPr>
      </w:pPr>
      <w:r w:rsidRPr="00D907DC">
        <w:rPr>
          <w:rStyle w:val="Strong"/>
          <w:rFonts w:ascii="Times" w:eastAsiaTheme="majorEastAsia" w:hAnsi="Times" w:cs="Times"/>
        </w:rPr>
        <w:t>International Experience</w:t>
      </w:r>
      <w:r w:rsidRPr="00D907DC">
        <w:rPr>
          <w:rFonts w:ascii="Times" w:hAnsi="Times" w:cs="Times"/>
        </w:rPr>
        <w:t xml:space="preserve">: Experience working in </w:t>
      </w:r>
      <w:r w:rsidR="000166BC" w:rsidRPr="00D907DC">
        <w:rPr>
          <w:rFonts w:ascii="Times" w:hAnsi="Times" w:cs="Times"/>
        </w:rPr>
        <w:t xml:space="preserve">similar developing </w:t>
      </w:r>
      <w:r w:rsidRPr="00D907DC">
        <w:rPr>
          <w:rFonts w:ascii="Times" w:hAnsi="Times" w:cs="Times"/>
        </w:rPr>
        <w:t>countries is required.</w:t>
      </w:r>
    </w:p>
    <w:p w14:paraId="5ECF2F5B" w14:textId="20861B31" w:rsidR="00E57617" w:rsidRPr="00D907DC" w:rsidRDefault="00E57617" w:rsidP="00E57617">
      <w:pPr>
        <w:numPr>
          <w:ilvl w:val="0"/>
          <w:numId w:val="9"/>
        </w:numPr>
        <w:spacing w:before="100" w:beforeAutospacing="1" w:after="100" w:afterAutospacing="1"/>
        <w:jc w:val="both"/>
        <w:rPr>
          <w:rFonts w:ascii="Times" w:hAnsi="Times" w:cs="Times"/>
        </w:rPr>
      </w:pPr>
      <w:r w:rsidRPr="00D907DC">
        <w:rPr>
          <w:rStyle w:val="Strong"/>
          <w:rFonts w:ascii="Times" w:eastAsiaTheme="majorEastAsia" w:hAnsi="Times" w:cs="Times"/>
        </w:rPr>
        <w:t>Language and Communication</w:t>
      </w:r>
      <w:r w:rsidRPr="00D907DC">
        <w:rPr>
          <w:rFonts w:ascii="Times" w:hAnsi="Times" w:cs="Times"/>
        </w:rPr>
        <w:t>: Exceptional command of the English language, both spoken and written, along with excellent communication skills.</w:t>
      </w:r>
      <w:r w:rsidR="00114AC7" w:rsidRPr="00D907DC">
        <w:rPr>
          <w:rFonts w:ascii="Times" w:hAnsi="Times" w:cs="Times"/>
        </w:rPr>
        <w:t xml:space="preserve"> Somali Language is desirable.</w:t>
      </w:r>
    </w:p>
    <w:p w14:paraId="4D58A062" w14:textId="77777777" w:rsidR="00E57617" w:rsidRPr="00D907DC" w:rsidRDefault="00E57617" w:rsidP="00E57617">
      <w:pPr>
        <w:numPr>
          <w:ilvl w:val="0"/>
          <w:numId w:val="9"/>
        </w:numPr>
        <w:spacing w:before="100" w:beforeAutospacing="1" w:after="100" w:afterAutospacing="1"/>
        <w:jc w:val="both"/>
        <w:rPr>
          <w:rFonts w:ascii="Times" w:hAnsi="Times" w:cs="Times"/>
        </w:rPr>
      </w:pPr>
      <w:r w:rsidRPr="00D907DC">
        <w:rPr>
          <w:rStyle w:val="Strong"/>
          <w:rFonts w:ascii="Times" w:eastAsiaTheme="majorEastAsia" w:hAnsi="Times" w:cs="Times"/>
        </w:rPr>
        <w:t>Organizational Skills</w:t>
      </w:r>
      <w:r w:rsidRPr="00D907DC">
        <w:rPr>
          <w:rFonts w:ascii="Times" w:hAnsi="Times" w:cs="Times"/>
        </w:rPr>
        <w:t>: Strong ability to organize and manage projects, with excellent reporting and coordination skills.</w:t>
      </w:r>
    </w:p>
    <w:p w14:paraId="750E3693" w14:textId="7198E329" w:rsidR="00D22F2C" w:rsidRPr="00D907DC" w:rsidRDefault="00E57617" w:rsidP="00E877C5">
      <w:pPr>
        <w:numPr>
          <w:ilvl w:val="0"/>
          <w:numId w:val="9"/>
        </w:numPr>
        <w:spacing w:before="100" w:beforeAutospacing="1" w:after="100" w:afterAutospacing="1"/>
        <w:jc w:val="both"/>
        <w:rPr>
          <w:rFonts w:ascii="Times" w:hAnsi="Times" w:cs="Times"/>
        </w:rPr>
      </w:pPr>
      <w:r w:rsidRPr="00D907DC">
        <w:rPr>
          <w:rStyle w:val="Strong"/>
          <w:rFonts w:ascii="Times" w:eastAsiaTheme="majorEastAsia" w:hAnsi="Times" w:cs="Times"/>
        </w:rPr>
        <w:t>Leadership and Technical Expertise</w:t>
      </w:r>
      <w:r w:rsidRPr="00D907DC">
        <w:rPr>
          <w:rFonts w:ascii="Times" w:hAnsi="Times" w:cs="Times"/>
        </w:rPr>
        <w:t>: Demonstrated leadership skills, technical competence, and professional capabilities for the timely implementation, coordination, and management of activities.</w:t>
      </w:r>
    </w:p>
    <w:p w14:paraId="565AE6D7" w14:textId="77777777" w:rsidR="00F72D29" w:rsidRPr="00D907DC" w:rsidRDefault="00F72D29" w:rsidP="00E57617">
      <w:pPr>
        <w:jc w:val="both"/>
        <w:rPr>
          <w:rFonts w:ascii="Times" w:hAnsi="Times" w:cs="Times"/>
          <w:b/>
        </w:rPr>
      </w:pPr>
      <w:r w:rsidRPr="00D907DC">
        <w:rPr>
          <w:rFonts w:ascii="Times" w:hAnsi="Times" w:cs="Times"/>
          <w:b/>
        </w:rPr>
        <w:t>Conduct of Work:</w:t>
      </w:r>
    </w:p>
    <w:p w14:paraId="1F30708A" w14:textId="1D9E115A" w:rsidR="00E57617" w:rsidRPr="00D907DC" w:rsidRDefault="00E57617" w:rsidP="00E57617">
      <w:pPr>
        <w:pStyle w:val="NormalWeb"/>
        <w:jc w:val="both"/>
        <w:rPr>
          <w:rFonts w:ascii="Times" w:hAnsi="Times" w:cs="Times"/>
        </w:rPr>
      </w:pPr>
      <w:r w:rsidRPr="00D907DC">
        <w:rPr>
          <w:rFonts w:ascii="Times" w:hAnsi="Times" w:cs="Times"/>
        </w:rPr>
        <w:t xml:space="preserve">The assignment will be managed through a mutually agreed-upon work plan, incorporating periodic reporting milestones. The Financial Sector Expert must be available for regular project reviews, which </w:t>
      </w:r>
      <w:r w:rsidR="000321A8" w:rsidRPr="00D907DC">
        <w:rPr>
          <w:rFonts w:ascii="Times" w:hAnsi="Times" w:cs="Times"/>
        </w:rPr>
        <w:t>will</w:t>
      </w:r>
      <w:r w:rsidRPr="00D907DC">
        <w:rPr>
          <w:rFonts w:ascii="Times" w:hAnsi="Times" w:cs="Times"/>
        </w:rPr>
        <w:t xml:space="preserve"> occur in</w:t>
      </w:r>
      <w:r w:rsidR="000321A8" w:rsidRPr="00D907DC">
        <w:rPr>
          <w:rFonts w:ascii="Times" w:hAnsi="Times" w:cs="Times"/>
        </w:rPr>
        <w:t xml:space="preserve"> the </w:t>
      </w:r>
      <w:r w:rsidRPr="00D907DC">
        <w:rPr>
          <w:rFonts w:ascii="Times" w:hAnsi="Times" w:cs="Times"/>
        </w:rPr>
        <w:t>country.</w:t>
      </w:r>
    </w:p>
    <w:p w14:paraId="205A101D" w14:textId="77777777" w:rsidR="00E57617" w:rsidRPr="00D907DC" w:rsidRDefault="00E57617" w:rsidP="00E57617">
      <w:pPr>
        <w:pStyle w:val="Heading4"/>
        <w:jc w:val="both"/>
        <w:rPr>
          <w:rFonts w:ascii="Times" w:hAnsi="Times" w:cs="Times"/>
          <w:b/>
          <w:bCs/>
          <w:i w:val="0"/>
          <w:iCs w:val="0"/>
          <w:color w:val="auto"/>
        </w:rPr>
      </w:pPr>
      <w:r w:rsidRPr="00D907DC">
        <w:rPr>
          <w:rFonts w:ascii="Times" w:hAnsi="Times" w:cs="Times"/>
          <w:b/>
          <w:bCs/>
          <w:i w:val="0"/>
          <w:iCs w:val="0"/>
          <w:color w:val="auto"/>
        </w:rPr>
        <w:t>Duration of Assignment</w:t>
      </w:r>
    </w:p>
    <w:p w14:paraId="3A28E1EE" w14:textId="77777777" w:rsidR="00E57617" w:rsidRPr="00D907DC" w:rsidRDefault="00E57617" w:rsidP="00E57617">
      <w:pPr>
        <w:pStyle w:val="NormalWeb"/>
        <w:jc w:val="both"/>
        <w:rPr>
          <w:rFonts w:ascii="Times" w:hAnsi="Times" w:cs="Times"/>
        </w:rPr>
      </w:pPr>
      <w:r w:rsidRPr="00D907DC">
        <w:rPr>
          <w:rFonts w:ascii="Times" w:hAnsi="Times" w:cs="Times"/>
        </w:rPr>
        <w:t>The assignment is scheduled for an initial period of 12 months, with the possibility of extension based on project needs and performance.</w:t>
      </w:r>
    </w:p>
    <w:p w14:paraId="4D70468B" w14:textId="77777777" w:rsidR="00E57617" w:rsidRPr="00D907DC" w:rsidRDefault="00E57617" w:rsidP="00E57617">
      <w:pPr>
        <w:pStyle w:val="Heading4"/>
        <w:jc w:val="both"/>
        <w:rPr>
          <w:rFonts w:ascii="Times" w:hAnsi="Times" w:cs="Times"/>
          <w:b/>
          <w:bCs/>
          <w:i w:val="0"/>
          <w:iCs w:val="0"/>
          <w:color w:val="auto"/>
        </w:rPr>
      </w:pPr>
      <w:r w:rsidRPr="00D907DC">
        <w:rPr>
          <w:rFonts w:ascii="Times" w:hAnsi="Times" w:cs="Times"/>
          <w:b/>
          <w:bCs/>
          <w:i w:val="0"/>
          <w:iCs w:val="0"/>
          <w:color w:val="auto"/>
        </w:rPr>
        <w:lastRenderedPageBreak/>
        <w:t>Nature of Assignment</w:t>
      </w:r>
    </w:p>
    <w:p w14:paraId="674F2F97" w14:textId="74728803" w:rsidR="00E57617" w:rsidRPr="00D907DC" w:rsidRDefault="00E57617" w:rsidP="00E57617">
      <w:pPr>
        <w:pStyle w:val="NormalWeb"/>
        <w:jc w:val="both"/>
        <w:rPr>
          <w:rFonts w:ascii="Times" w:hAnsi="Times" w:cs="Times"/>
        </w:rPr>
      </w:pPr>
      <w:r w:rsidRPr="00D907DC">
        <w:rPr>
          <w:rFonts w:ascii="Times" w:hAnsi="Times" w:cs="Times"/>
        </w:rPr>
        <w:t xml:space="preserve">The assignment will be conducted </w:t>
      </w:r>
      <w:proofErr w:type="gramStart"/>
      <w:r w:rsidRPr="00D907DC">
        <w:rPr>
          <w:rFonts w:ascii="Times" w:hAnsi="Times" w:cs="Times"/>
        </w:rPr>
        <w:t xml:space="preserve">on a </w:t>
      </w:r>
      <w:r w:rsidR="003350D9" w:rsidRPr="00D907DC">
        <w:rPr>
          <w:rFonts w:ascii="Times" w:hAnsi="Times" w:cs="Times"/>
        </w:rPr>
        <w:t xml:space="preserve">monthly </w:t>
      </w:r>
      <w:r w:rsidR="0067589A" w:rsidRPr="00D907DC">
        <w:rPr>
          <w:rFonts w:ascii="Times" w:hAnsi="Times" w:cs="Times"/>
        </w:rPr>
        <w:t>basis</w:t>
      </w:r>
      <w:proofErr w:type="gramEnd"/>
      <w:r w:rsidRPr="00D907DC">
        <w:rPr>
          <w:rFonts w:ascii="Times" w:hAnsi="Times" w:cs="Times"/>
        </w:rPr>
        <w:t>, with compensation tied to the successful completion of specified deliverables.</w:t>
      </w:r>
    </w:p>
    <w:p w14:paraId="63E19FAD" w14:textId="77777777" w:rsidR="00E57617" w:rsidRPr="00D907DC" w:rsidRDefault="00E57617" w:rsidP="00E57617">
      <w:pPr>
        <w:pStyle w:val="Heading4"/>
        <w:jc w:val="both"/>
        <w:rPr>
          <w:rFonts w:ascii="Times" w:hAnsi="Times" w:cs="Times"/>
          <w:b/>
          <w:bCs/>
          <w:i w:val="0"/>
          <w:iCs w:val="0"/>
          <w:color w:val="auto"/>
        </w:rPr>
      </w:pPr>
      <w:r w:rsidRPr="00D907DC">
        <w:rPr>
          <w:rFonts w:ascii="Times" w:hAnsi="Times" w:cs="Times"/>
          <w:b/>
          <w:bCs/>
          <w:i w:val="0"/>
          <w:iCs w:val="0"/>
          <w:color w:val="auto"/>
        </w:rPr>
        <w:t>Location of the Assignment</w:t>
      </w:r>
    </w:p>
    <w:p w14:paraId="61B7984C" w14:textId="630EDDCB" w:rsidR="00E57617" w:rsidRPr="00E57617" w:rsidRDefault="00E57617" w:rsidP="00E57617">
      <w:pPr>
        <w:pStyle w:val="NormalWeb"/>
        <w:jc w:val="both"/>
        <w:rPr>
          <w:rFonts w:ascii="Times" w:hAnsi="Times" w:cs="Times"/>
        </w:rPr>
      </w:pPr>
      <w:r w:rsidRPr="00D907DC">
        <w:rPr>
          <w:rFonts w:ascii="Times" w:hAnsi="Times" w:cs="Times"/>
        </w:rPr>
        <w:t xml:space="preserve">The primary duty station for the assignment is the Central Bank of Somalia, located in Mogadishu. The Financial Sector Development Expert </w:t>
      </w:r>
      <w:r w:rsidR="00EF7710" w:rsidRPr="00D907DC">
        <w:rPr>
          <w:rFonts w:ascii="Times" w:hAnsi="Times" w:cs="Times"/>
        </w:rPr>
        <w:t>is</w:t>
      </w:r>
      <w:r w:rsidRPr="00D907DC">
        <w:rPr>
          <w:rFonts w:ascii="Times" w:hAnsi="Times" w:cs="Times"/>
        </w:rPr>
        <w:t xml:space="preserve"> also </w:t>
      </w:r>
      <w:r w:rsidR="00877482" w:rsidRPr="00D907DC">
        <w:rPr>
          <w:rFonts w:ascii="Times" w:hAnsi="Times" w:cs="Times"/>
        </w:rPr>
        <w:t>expected</w:t>
      </w:r>
      <w:r w:rsidRPr="00D907DC">
        <w:rPr>
          <w:rFonts w:ascii="Times" w:hAnsi="Times" w:cs="Times"/>
        </w:rPr>
        <w:t xml:space="preserve"> to travel as needed throughout Somalia.</w:t>
      </w:r>
    </w:p>
    <w:p w14:paraId="672A3ADB" w14:textId="77777777" w:rsidR="00F72D29" w:rsidRPr="00E57617" w:rsidRDefault="00F72D29" w:rsidP="00E57617">
      <w:pPr>
        <w:jc w:val="both"/>
        <w:rPr>
          <w:rFonts w:ascii="Times" w:hAnsi="Times" w:cs="Times"/>
        </w:rPr>
      </w:pPr>
    </w:p>
    <w:sectPr w:rsidR="00F72D29" w:rsidRPr="00E5761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71E557" w14:textId="77777777" w:rsidR="001479FD" w:rsidRDefault="001479FD" w:rsidP="00822DEA">
      <w:r>
        <w:separator/>
      </w:r>
    </w:p>
  </w:endnote>
  <w:endnote w:type="continuationSeparator" w:id="0">
    <w:p w14:paraId="4041824B" w14:textId="77777777" w:rsidR="001479FD" w:rsidRDefault="001479FD" w:rsidP="00822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79F8C" w14:textId="77777777" w:rsidR="00822DEA" w:rsidRDefault="00822D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5284721"/>
      <w:docPartObj>
        <w:docPartGallery w:val="Page Numbers (Bottom of Page)"/>
        <w:docPartUnique/>
      </w:docPartObj>
    </w:sdtPr>
    <w:sdtEndPr>
      <w:rPr>
        <w:noProof/>
      </w:rPr>
    </w:sdtEndPr>
    <w:sdtContent>
      <w:p w14:paraId="6D09ABEE" w14:textId="19B3415E" w:rsidR="00822DEA" w:rsidRDefault="00822D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2B957C" w14:textId="77777777" w:rsidR="00822DEA" w:rsidRDefault="00822D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87F54" w14:textId="77777777" w:rsidR="00822DEA" w:rsidRDefault="00822D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BD7856" w14:textId="77777777" w:rsidR="001479FD" w:rsidRDefault="001479FD" w:rsidP="00822DEA">
      <w:r>
        <w:separator/>
      </w:r>
    </w:p>
  </w:footnote>
  <w:footnote w:type="continuationSeparator" w:id="0">
    <w:p w14:paraId="052BC8C9" w14:textId="77777777" w:rsidR="001479FD" w:rsidRDefault="001479FD" w:rsidP="00822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F7D866" w14:textId="77777777" w:rsidR="00822DEA" w:rsidRDefault="00822D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1B160" w14:textId="77777777" w:rsidR="00822DEA" w:rsidRDefault="00822D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49CA1E" w14:textId="77777777" w:rsidR="00822DEA" w:rsidRDefault="00822D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41616"/>
    <w:multiLevelType w:val="hybridMultilevel"/>
    <w:tmpl w:val="F3129808"/>
    <w:lvl w:ilvl="0" w:tplc="04090001">
      <w:start w:val="1"/>
      <w:numFmt w:val="bullet"/>
      <w:lvlText w:val=""/>
      <w:lvlJc w:val="left"/>
      <w:pPr>
        <w:ind w:left="360" w:hanging="360"/>
      </w:pPr>
      <w:rPr>
        <w:rFonts w:ascii="Symbol" w:hAnsi="Symbol" w:hint="default"/>
      </w:rPr>
    </w:lvl>
    <w:lvl w:ilvl="1" w:tplc="04090003">
      <w:start w:val="1"/>
      <w:numFmt w:val="bullet"/>
      <w:lvlText w:val="o"/>
      <w:lvlJc w:val="left"/>
      <w:rPr>
        <w:rFonts w:ascii="Courier New" w:hAnsi="Courier New" w:cs="Courier New" w:hint="default"/>
      </w:rPr>
    </w:lvl>
    <w:lvl w:ilvl="2" w:tplc="04090005">
      <w:start w:val="1"/>
      <w:numFmt w:val="bullet"/>
      <w:lvlText w:val=""/>
      <w:lvlJc w:val="left"/>
      <w:rPr>
        <w:rFonts w:ascii="Wingdings" w:hAnsi="Wingdings" w:hint="default"/>
      </w:rPr>
    </w:lvl>
    <w:lvl w:ilvl="3" w:tplc="04090001">
      <w:start w:val="1"/>
      <w:numFmt w:val="bullet"/>
      <w:lvlText w:val=""/>
      <w:lvlJc w:val="left"/>
      <w:rPr>
        <w:rFonts w:ascii="Symbol" w:hAnsi="Symbol" w:hint="default"/>
      </w:rPr>
    </w:lvl>
    <w:lvl w:ilvl="4" w:tplc="04090003" w:tentative="1">
      <w:start w:val="1"/>
      <w:numFmt w:val="bullet"/>
      <w:lvlText w:val="o"/>
      <w:lvlJc w:val="left"/>
      <w:rPr>
        <w:rFonts w:ascii="Courier New" w:hAnsi="Courier New" w:cs="Courier New" w:hint="default"/>
      </w:rPr>
    </w:lvl>
    <w:lvl w:ilvl="5" w:tplc="04090005" w:tentative="1">
      <w:start w:val="1"/>
      <w:numFmt w:val="bullet"/>
      <w:lvlText w:val=""/>
      <w:lvlJc w:val="left"/>
      <w:rPr>
        <w:rFonts w:ascii="Wingdings" w:hAnsi="Wingdings" w:hint="default"/>
      </w:rPr>
    </w:lvl>
    <w:lvl w:ilvl="6" w:tplc="04090001" w:tentative="1">
      <w:start w:val="1"/>
      <w:numFmt w:val="bullet"/>
      <w:lvlText w:val=""/>
      <w:lvlJc w:val="left"/>
      <w:rPr>
        <w:rFonts w:ascii="Symbol" w:hAnsi="Symbol" w:hint="default"/>
      </w:rPr>
    </w:lvl>
    <w:lvl w:ilvl="7" w:tplc="04090003" w:tentative="1">
      <w:start w:val="1"/>
      <w:numFmt w:val="bullet"/>
      <w:lvlText w:val="o"/>
      <w:lvlJc w:val="left"/>
      <w:rPr>
        <w:rFonts w:ascii="Courier New" w:hAnsi="Courier New" w:cs="Courier New" w:hint="default"/>
      </w:rPr>
    </w:lvl>
    <w:lvl w:ilvl="8" w:tplc="04090005" w:tentative="1">
      <w:start w:val="1"/>
      <w:numFmt w:val="bullet"/>
      <w:lvlText w:val=""/>
      <w:lvlJc w:val="left"/>
      <w:rPr>
        <w:rFonts w:ascii="Wingdings" w:hAnsi="Wingdings" w:hint="default"/>
      </w:rPr>
    </w:lvl>
  </w:abstractNum>
  <w:abstractNum w:abstractNumId="1" w15:restartNumberingAfterBreak="0">
    <w:nsid w:val="0C467D7F"/>
    <w:multiLevelType w:val="hybridMultilevel"/>
    <w:tmpl w:val="9AB0C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4376AC"/>
    <w:multiLevelType w:val="multilevel"/>
    <w:tmpl w:val="04F48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73189A"/>
    <w:multiLevelType w:val="hybridMultilevel"/>
    <w:tmpl w:val="0BC28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AF266E"/>
    <w:multiLevelType w:val="multilevel"/>
    <w:tmpl w:val="E3C46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951A3C"/>
    <w:multiLevelType w:val="hybridMultilevel"/>
    <w:tmpl w:val="62E2D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AC6614"/>
    <w:multiLevelType w:val="multilevel"/>
    <w:tmpl w:val="AA9CC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55D50F2"/>
    <w:multiLevelType w:val="multilevel"/>
    <w:tmpl w:val="33F2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BD7776"/>
    <w:multiLevelType w:val="hybridMultilevel"/>
    <w:tmpl w:val="7DF6B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5972920">
    <w:abstractNumId w:val="5"/>
  </w:num>
  <w:num w:numId="2" w16cid:durableId="1451046411">
    <w:abstractNumId w:val="0"/>
  </w:num>
  <w:num w:numId="3" w16cid:durableId="1979526164">
    <w:abstractNumId w:val="1"/>
  </w:num>
  <w:num w:numId="4" w16cid:durableId="617296082">
    <w:abstractNumId w:val="8"/>
  </w:num>
  <w:num w:numId="5" w16cid:durableId="194580748">
    <w:abstractNumId w:val="3"/>
  </w:num>
  <w:num w:numId="6" w16cid:durableId="782310706">
    <w:abstractNumId w:val="6"/>
  </w:num>
  <w:num w:numId="7" w16cid:durableId="1337415806">
    <w:abstractNumId w:val="4"/>
  </w:num>
  <w:num w:numId="8" w16cid:durableId="1507475870">
    <w:abstractNumId w:val="2"/>
  </w:num>
  <w:num w:numId="9" w16cid:durableId="14653904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29"/>
    <w:rsid w:val="000166BC"/>
    <w:rsid w:val="00022E1D"/>
    <w:rsid w:val="000321A8"/>
    <w:rsid w:val="00093F13"/>
    <w:rsid w:val="000A264E"/>
    <w:rsid w:val="000F577F"/>
    <w:rsid w:val="00114AC7"/>
    <w:rsid w:val="001175E6"/>
    <w:rsid w:val="001479FD"/>
    <w:rsid w:val="0016101F"/>
    <w:rsid w:val="00192969"/>
    <w:rsid w:val="001D68B2"/>
    <w:rsid w:val="002027F3"/>
    <w:rsid w:val="002179DC"/>
    <w:rsid w:val="002709A6"/>
    <w:rsid w:val="00281645"/>
    <w:rsid w:val="002B5D91"/>
    <w:rsid w:val="002D5FD5"/>
    <w:rsid w:val="002F640E"/>
    <w:rsid w:val="0032669F"/>
    <w:rsid w:val="00332AF7"/>
    <w:rsid w:val="003350D9"/>
    <w:rsid w:val="00341D1F"/>
    <w:rsid w:val="00350433"/>
    <w:rsid w:val="00354F93"/>
    <w:rsid w:val="003F6F23"/>
    <w:rsid w:val="00411B69"/>
    <w:rsid w:val="00424597"/>
    <w:rsid w:val="0045278D"/>
    <w:rsid w:val="00457D77"/>
    <w:rsid w:val="00480649"/>
    <w:rsid w:val="00482DF8"/>
    <w:rsid w:val="004876ED"/>
    <w:rsid w:val="004E42EC"/>
    <w:rsid w:val="0050633A"/>
    <w:rsid w:val="00511897"/>
    <w:rsid w:val="00521B60"/>
    <w:rsid w:val="00536253"/>
    <w:rsid w:val="0055588D"/>
    <w:rsid w:val="00555B59"/>
    <w:rsid w:val="00571FF9"/>
    <w:rsid w:val="00593B00"/>
    <w:rsid w:val="005960DE"/>
    <w:rsid w:val="005A2852"/>
    <w:rsid w:val="005D48A9"/>
    <w:rsid w:val="00600E4E"/>
    <w:rsid w:val="00623364"/>
    <w:rsid w:val="00627585"/>
    <w:rsid w:val="00637F39"/>
    <w:rsid w:val="0064364F"/>
    <w:rsid w:val="00671068"/>
    <w:rsid w:val="0067589A"/>
    <w:rsid w:val="00675C6E"/>
    <w:rsid w:val="006865D3"/>
    <w:rsid w:val="0069091D"/>
    <w:rsid w:val="006C41BE"/>
    <w:rsid w:val="006C523F"/>
    <w:rsid w:val="006D5E63"/>
    <w:rsid w:val="00735A14"/>
    <w:rsid w:val="00751537"/>
    <w:rsid w:val="00762B25"/>
    <w:rsid w:val="007826FF"/>
    <w:rsid w:val="007A68B7"/>
    <w:rsid w:val="007B5582"/>
    <w:rsid w:val="007D58A4"/>
    <w:rsid w:val="00822DEA"/>
    <w:rsid w:val="00845D32"/>
    <w:rsid w:val="008720DC"/>
    <w:rsid w:val="008739E3"/>
    <w:rsid w:val="00877482"/>
    <w:rsid w:val="008A3D6E"/>
    <w:rsid w:val="008B7C8C"/>
    <w:rsid w:val="008D284D"/>
    <w:rsid w:val="008E4C02"/>
    <w:rsid w:val="00913F28"/>
    <w:rsid w:val="00923746"/>
    <w:rsid w:val="009304C4"/>
    <w:rsid w:val="00960E87"/>
    <w:rsid w:val="00975A21"/>
    <w:rsid w:val="009D3F16"/>
    <w:rsid w:val="009E5DD5"/>
    <w:rsid w:val="009F4740"/>
    <w:rsid w:val="009F7A98"/>
    <w:rsid w:val="00A01DE0"/>
    <w:rsid w:val="00A31D09"/>
    <w:rsid w:val="00A73E05"/>
    <w:rsid w:val="00A75928"/>
    <w:rsid w:val="00A77AC0"/>
    <w:rsid w:val="00A833C9"/>
    <w:rsid w:val="00A84ED3"/>
    <w:rsid w:val="00AD559D"/>
    <w:rsid w:val="00AF75F2"/>
    <w:rsid w:val="00B031E7"/>
    <w:rsid w:val="00B12BE6"/>
    <w:rsid w:val="00B23EA0"/>
    <w:rsid w:val="00B5493F"/>
    <w:rsid w:val="00BA0734"/>
    <w:rsid w:val="00C025C3"/>
    <w:rsid w:val="00C04869"/>
    <w:rsid w:val="00C1138B"/>
    <w:rsid w:val="00C24970"/>
    <w:rsid w:val="00C24D6D"/>
    <w:rsid w:val="00C3167F"/>
    <w:rsid w:val="00C40891"/>
    <w:rsid w:val="00C568F1"/>
    <w:rsid w:val="00CA6085"/>
    <w:rsid w:val="00CB5BFE"/>
    <w:rsid w:val="00CC5D96"/>
    <w:rsid w:val="00CF7D4F"/>
    <w:rsid w:val="00D00968"/>
    <w:rsid w:val="00D02BD5"/>
    <w:rsid w:val="00D142CB"/>
    <w:rsid w:val="00D22F2C"/>
    <w:rsid w:val="00D367F7"/>
    <w:rsid w:val="00D42861"/>
    <w:rsid w:val="00D67735"/>
    <w:rsid w:val="00D70DD1"/>
    <w:rsid w:val="00D907DC"/>
    <w:rsid w:val="00DA68BD"/>
    <w:rsid w:val="00DC2DCB"/>
    <w:rsid w:val="00DD71DA"/>
    <w:rsid w:val="00E05A76"/>
    <w:rsid w:val="00E32155"/>
    <w:rsid w:val="00E45B2B"/>
    <w:rsid w:val="00E57617"/>
    <w:rsid w:val="00E877C5"/>
    <w:rsid w:val="00EE6405"/>
    <w:rsid w:val="00EF7710"/>
    <w:rsid w:val="00F06AB4"/>
    <w:rsid w:val="00F52DE7"/>
    <w:rsid w:val="00F72D29"/>
    <w:rsid w:val="00F73B52"/>
    <w:rsid w:val="00F9211A"/>
    <w:rsid w:val="00FF23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B9F13"/>
  <w15:chartTrackingRefBased/>
  <w15:docId w15:val="{4246CA9D-80FD-4504-A39E-23FCF3E55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2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72D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2D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2D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2D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2D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D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D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D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D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D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2D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2D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2D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2D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D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D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D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D29"/>
    <w:rPr>
      <w:rFonts w:eastAsiaTheme="majorEastAsia" w:cstheme="majorBidi"/>
      <w:color w:val="272727" w:themeColor="text1" w:themeTint="D8"/>
    </w:rPr>
  </w:style>
  <w:style w:type="paragraph" w:styleId="Title">
    <w:name w:val="Title"/>
    <w:basedOn w:val="Normal"/>
    <w:next w:val="Normal"/>
    <w:link w:val="TitleChar"/>
    <w:uiPriority w:val="10"/>
    <w:qFormat/>
    <w:rsid w:val="00F72D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D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D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D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D29"/>
    <w:pPr>
      <w:spacing w:before="160"/>
      <w:jc w:val="center"/>
    </w:pPr>
    <w:rPr>
      <w:i/>
      <w:iCs/>
      <w:color w:val="404040" w:themeColor="text1" w:themeTint="BF"/>
    </w:rPr>
  </w:style>
  <w:style w:type="character" w:customStyle="1" w:styleId="QuoteChar">
    <w:name w:val="Quote Char"/>
    <w:basedOn w:val="DefaultParagraphFont"/>
    <w:link w:val="Quote"/>
    <w:uiPriority w:val="29"/>
    <w:rsid w:val="00F72D29"/>
    <w:rPr>
      <w:i/>
      <w:iCs/>
      <w:color w:val="404040" w:themeColor="text1" w:themeTint="BF"/>
    </w:rPr>
  </w:style>
  <w:style w:type="paragraph" w:styleId="ListParagraph">
    <w:name w:val="List Paragraph"/>
    <w:aliases w:val="List Paragraph (numbered (a)),Akapit z listą BS,Bullet1,Bullets,Citation List,Ha,List Paragraph1,List_Paragraph,Liste 1,Main numbered paragraph,Multilevel para_II,NUMBERED PARAGRAPH,Numbered List Paragraph,NumberedParas,References,본문(내용)"/>
    <w:basedOn w:val="Normal"/>
    <w:link w:val="ListParagraphChar"/>
    <w:qFormat/>
    <w:rsid w:val="00F72D29"/>
    <w:pPr>
      <w:ind w:left="720"/>
      <w:contextualSpacing/>
    </w:pPr>
  </w:style>
  <w:style w:type="character" w:styleId="IntenseEmphasis">
    <w:name w:val="Intense Emphasis"/>
    <w:basedOn w:val="DefaultParagraphFont"/>
    <w:uiPriority w:val="21"/>
    <w:qFormat/>
    <w:rsid w:val="00F72D29"/>
    <w:rPr>
      <w:i/>
      <w:iCs/>
      <w:color w:val="0F4761" w:themeColor="accent1" w:themeShade="BF"/>
    </w:rPr>
  </w:style>
  <w:style w:type="paragraph" w:styleId="IntenseQuote">
    <w:name w:val="Intense Quote"/>
    <w:basedOn w:val="Normal"/>
    <w:next w:val="Normal"/>
    <w:link w:val="IntenseQuoteChar"/>
    <w:uiPriority w:val="30"/>
    <w:qFormat/>
    <w:rsid w:val="00F72D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D29"/>
    <w:rPr>
      <w:i/>
      <w:iCs/>
      <w:color w:val="0F4761" w:themeColor="accent1" w:themeShade="BF"/>
    </w:rPr>
  </w:style>
  <w:style w:type="character" w:styleId="IntenseReference">
    <w:name w:val="Intense Reference"/>
    <w:basedOn w:val="DefaultParagraphFont"/>
    <w:uiPriority w:val="32"/>
    <w:qFormat/>
    <w:rsid w:val="00F72D29"/>
    <w:rPr>
      <w:b/>
      <w:bCs/>
      <w:smallCaps/>
      <w:color w:val="0F4761" w:themeColor="accent1" w:themeShade="BF"/>
      <w:spacing w:val="5"/>
    </w:rPr>
  </w:style>
  <w:style w:type="character" w:customStyle="1" w:styleId="ListParagraphChar">
    <w:name w:val="List Paragraph Char"/>
    <w:aliases w:val="List Paragraph (numbered (a)) Char,Akapit z listą BS Char,Bullet1 Char,Bullets Char,Citation List Char,Ha Char,List Paragraph1 Char,List_Paragraph Char,Liste 1 Char,Main numbered paragraph Char,Multilevel para_II Char,References Char"/>
    <w:link w:val="ListParagraph"/>
    <w:qFormat/>
    <w:locked/>
    <w:rsid w:val="00F72D29"/>
  </w:style>
  <w:style w:type="character" w:styleId="SubtleEmphasis">
    <w:name w:val="Subtle Emphasis"/>
    <w:uiPriority w:val="19"/>
    <w:qFormat/>
    <w:rsid w:val="00F72D29"/>
    <w:rPr>
      <w:i/>
      <w:iCs/>
      <w:color w:val="404040"/>
    </w:rPr>
  </w:style>
  <w:style w:type="paragraph" w:styleId="Revision">
    <w:name w:val="Revision"/>
    <w:hidden/>
    <w:uiPriority w:val="99"/>
    <w:semiHidden/>
    <w:rsid w:val="003F6F23"/>
    <w:pPr>
      <w:spacing w:after="0" w:line="240" w:lineRule="auto"/>
    </w:pPr>
    <w:rPr>
      <w:rFonts w:ascii="Times New Roman" w:eastAsia="Times New Roman" w:hAnsi="Times New Roman" w:cs="Times New Roman"/>
      <w:kern w:val="0"/>
      <w14:ligatures w14:val="none"/>
    </w:rPr>
  </w:style>
  <w:style w:type="paragraph" w:styleId="NormalWeb">
    <w:name w:val="Normal (Web)"/>
    <w:basedOn w:val="Normal"/>
    <w:uiPriority w:val="99"/>
    <w:unhideWhenUsed/>
    <w:rsid w:val="00457D77"/>
    <w:pPr>
      <w:spacing w:before="100" w:beforeAutospacing="1" w:after="100" w:afterAutospacing="1"/>
    </w:pPr>
    <w:rPr>
      <w:lang w:val="en-GB" w:eastAsia="en-GB"/>
    </w:rPr>
  </w:style>
  <w:style w:type="character" w:styleId="Strong">
    <w:name w:val="Strong"/>
    <w:basedOn w:val="DefaultParagraphFont"/>
    <w:uiPriority w:val="22"/>
    <w:qFormat/>
    <w:rsid w:val="00457D77"/>
    <w:rPr>
      <w:b/>
      <w:bCs/>
    </w:rPr>
  </w:style>
  <w:style w:type="paragraph" w:styleId="Header">
    <w:name w:val="header"/>
    <w:basedOn w:val="Normal"/>
    <w:link w:val="HeaderChar"/>
    <w:uiPriority w:val="99"/>
    <w:unhideWhenUsed/>
    <w:rsid w:val="00822DEA"/>
    <w:pPr>
      <w:tabs>
        <w:tab w:val="center" w:pos="4680"/>
        <w:tab w:val="right" w:pos="9360"/>
      </w:tabs>
    </w:pPr>
  </w:style>
  <w:style w:type="character" w:customStyle="1" w:styleId="HeaderChar">
    <w:name w:val="Header Char"/>
    <w:basedOn w:val="DefaultParagraphFont"/>
    <w:link w:val="Header"/>
    <w:uiPriority w:val="99"/>
    <w:rsid w:val="00822DEA"/>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822DEA"/>
    <w:pPr>
      <w:tabs>
        <w:tab w:val="center" w:pos="4680"/>
        <w:tab w:val="right" w:pos="9360"/>
      </w:tabs>
    </w:pPr>
  </w:style>
  <w:style w:type="character" w:customStyle="1" w:styleId="FooterChar">
    <w:name w:val="Footer Char"/>
    <w:basedOn w:val="DefaultParagraphFont"/>
    <w:link w:val="Footer"/>
    <w:uiPriority w:val="99"/>
    <w:rsid w:val="00822DEA"/>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5A2852"/>
    <w:rPr>
      <w:sz w:val="16"/>
      <w:szCs w:val="16"/>
    </w:rPr>
  </w:style>
  <w:style w:type="paragraph" w:styleId="CommentText">
    <w:name w:val="annotation text"/>
    <w:basedOn w:val="Normal"/>
    <w:link w:val="CommentTextChar"/>
    <w:uiPriority w:val="99"/>
    <w:unhideWhenUsed/>
    <w:rsid w:val="005A2852"/>
    <w:rPr>
      <w:sz w:val="20"/>
      <w:szCs w:val="20"/>
    </w:rPr>
  </w:style>
  <w:style w:type="character" w:customStyle="1" w:styleId="CommentTextChar">
    <w:name w:val="Comment Text Char"/>
    <w:basedOn w:val="DefaultParagraphFont"/>
    <w:link w:val="CommentText"/>
    <w:uiPriority w:val="99"/>
    <w:rsid w:val="005A2852"/>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A2852"/>
    <w:rPr>
      <w:b/>
      <w:bCs/>
    </w:rPr>
  </w:style>
  <w:style w:type="character" w:customStyle="1" w:styleId="CommentSubjectChar">
    <w:name w:val="Comment Subject Char"/>
    <w:basedOn w:val="CommentTextChar"/>
    <w:link w:val="CommentSubject"/>
    <w:uiPriority w:val="99"/>
    <w:semiHidden/>
    <w:rsid w:val="005A2852"/>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707891">
      <w:bodyDiv w:val="1"/>
      <w:marLeft w:val="0"/>
      <w:marRight w:val="0"/>
      <w:marTop w:val="0"/>
      <w:marBottom w:val="0"/>
      <w:divBdr>
        <w:top w:val="none" w:sz="0" w:space="0" w:color="auto"/>
        <w:left w:val="none" w:sz="0" w:space="0" w:color="auto"/>
        <w:bottom w:val="none" w:sz="0" w:space="0" w:color="auto"/>
        <w:right w:val="none" w:sz="0" w:space="0" w:color="auto"/>
      </w:divBdr>
    </w:div>
    <w:div w:id="378555757">
      <w:bodyDiv w:val="1"/>
      <w:marLeft w:val="0"/>
      <w:marRight w:val="0"/>
      <w:marTop w:val="0"/>
      <w:marBottom w:val="0"/>
      <w:divBdr>
        <w:top w:val="none" w:sz="0" w:space="0" w:color="auto"/>
        <w:left w:val="none" w:sz="0" w:space="0" w:color="auto"/>
        <w:bottom w:val="none" w:sz="0" w:space="0" w:color="auto"/>
        <w:right w:val="none" w:sz="0" w:space="0" w:color="auto"/>
      </w:divBdr>
    </w:div>
    <w:div w:id="791821496">
      <w:bodyDiv w:val="1"/>
      <w:marLeft w:val="0"/>
      <w:marRight w:val="0"/>
      <w:marTop w:val="0"/>
      <w:marBottom w:val="0"/>
      <w:divBdr>
        <w:top w:val="none" w:sz="0" w:space="0" w:color="auto"/>
        <w:left w:val="none" w:sz="0" w:space="0" w:color="auto"/>
        <w:bottom w:val="none" w:sz="0" w:space="0" w:color="auto"/>
        <w:right w:val="none" w:sz="0" w:space="0" w:color="auto"/>
      </w:divBdr>
    </w:div>
    <w:div w:id="810706366">
      <w:bodyDiv w:val="1"/>
      <w:marLeft w:val="0"/>
      <w:marRight w:val="0"/>
      <w:marTop w:val="0"/>
      <w:marBottom w:val="0"/>
      <w:divBdr>
        <w:top w:val="none" w:sz="0" w:space="0" w:color="auto"/>
        <w:left w:val="none" w:sz="0" w:space="0" w:color="auto"/>
        <w:bottom w:val="none" w:sz="0" w:space="0" w:color="auto"/>
        <w:right w:val="none" w:sz="0" w:space="0" w:color="auto"/>
      </w:divBdr>
    </w:div>
    <w:div w:id="1106074168">
      <w:bodyDiv w:val="1"/>
      <w:marLeft w:val="0"/>
      <w:marRight w:val="0"/>
      <w:marTop w:val="0"/>
      <w:marBottom w:val="0"/>
      <w:divBdr>
        <w:top w:val="none" w:sz="0" w:space="0" w:color="auto"/>
        <w:left w:val="none" w:sz="0" w:space="0" w:color="auto"/>
        <w:bottom w:val="none" w:sz="0" w:space="0" w:color="auto"/>
        <w:right w:val="none" w:sz="0" w:space="0" w:color="auto"/>
      </w:divBdr>
    </w:div>
    <w:div w:id="1462189633">
      <w:bodyDiv w:val="1"/>
      <w:marLeft w:val="0"/>
      <w:marRight w:val="0"/>
      <w:marTop w:val="0"/>
      <w:marBottom w:val="0"/>
      <w:divBdr>
        <w:top w:val="none" w:sz="0" w:space="0" w:color="auto"/>
        <w:left w:val="none" w:sz="0" w:space="0" w:color="auto"/>
        <w:bottom w:val="none" w:sz="0" w:space="0" w:color="auto"/>
        <w:right w:val="none" w:sz="0" w:space="0" w:color="auto"/>
      </w:divBdr>
    </w:div>
    <w:div w:id="193177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DC2B0-3D15-418B-AD88-19183FDE9C96}">
  <ds:schemaRefs>
    <ds:schemaRef ds:uri="http://schemas.microsoft.com/sharepoint/v3/contenttype/forms"/>
  </ds:schemaRefs>
</ds:datastoreItem>
</file>

<file path=customXml/itemProps2.xml><?xml version="1.0" encoding="utf-8"?>
<ds:datastoreItem xmlns:ds="http://schemas.openxmlformats.org/officeDocument/2006/customXml" ds:itemID="{46941AE3-5594-47BD-AC4C-30FB86D1DB99}">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3.xml><?xml version="1.0" encoding="utf-8"?>
<ds:datastoreItem xmlns:ds="http://schemas.openxmlformats.org/officeDocument/2006/customXml" ds:itemID="{C4706E6F-D2D4-415D-B136-54A6B2C57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A6B764-D88B-4D33-B5B5-FFF9D3D83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1115</Words>
  <Characters>6356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Mahdi Abdikarim Daud</dc:creator>
  <cp:keywords/>
  <dc:description/>
  <cp:lastModifiedBy>Ahmed Burale</cp:lastModifiedBy>
  <cp:revision>2</cp:revision>
  <dcterms:created xsi:type="dcterms:W3CDTF">2024-12-21T12:56:00Z</dcterms:created>
  <dcterms:modified xsi:type="dcterms:W3CDTF">2024-12-21T12:56:00Z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